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7E4609" w14:textId="77777777" w:rsidR="00AE77C3" w:rsidRDefault="00DD795A">
      <w:pPr>
        <w:jc w:val="both"/>
        <w:rPr>
          <w:b/>
          <w:bCs/>
          <w:sz w:val="24"/>
          <w:szCs w:val="24"/>
        </w:rPr>
      </w:pPr>
      <w:r>
        <w:rPr>
          <w:b/>
          <w:bCs/>
          <w:sz w:val="24"/>
          <w:szCs w:val="24"/>
        </w:rPr>
        <w:t xml:space="preserve">Title: The Strategic Way High Net Worth Families Pass </w:t>
      </w:r>
      <w:proofErr w:type="gramStart"/>
      <w:r>
        <w:rPr>
          <w:b/>
          <w:bCs/>
          <w:sz w:val="24"/>
          <w:szCs w:val="24"/>
        </w:rPr>
        <w:t>On</w:t>
      </w:r>
      <w:proofErr w:type="gramEnd"/>
      <w:r>
        <w:rPr>
          <w:b/>
          <w:bCs/>
          <w:sz w:val="24"/>
          <w:szCs w:val="24"/>
        </w:rPr>
        <w:t xml:space="preserve"> Wealth</w:t>
      </w:r>
    </w:p>
    <w:p w14:paraId="0D518A09" w14:textId="77777777" w:rsidR="00AE77C3" w:rsidRDefault="00AE77C3">
      <w:pPr>
        <w:jc w:val="both"/>
        <w:rPr>
          <w:b/>
          <w:bCs/>
          <w:sz w:val="24"/>
          <w:szCs w:val="24"/>
        </w:rPr>
      </w:pPr>
    </w:p>
    <w:p w14:paraId="0C2928AE" w14:textId="77777777" w:rsidR="00AE77C3" w:rsidRDefault="00DD795A">
      <w:pPr>
        <w:jc w:val="both"/>
        <w:rPr>
          <w:sz w:val="24"/>
          <w:szCs w:val="24"/>
        </w:rPr>
      </w:pPr>
      <w:r>
        <w:rPr>
          <w:b/>
          <w:bCs/>
          <w:sz w:val="24"/>
          <w:szCs w:val="24"/>
        </w:rPr>
        <w:t xml:space="preserve">Meta Description: </w:t>
      </w:r>
      <w:r>
        <w:rPr>
          <w:sz w:val="24"/>
          <w:szCs w:val="24"/>
        </w:rPr>
        <w:t>Passing on wealth takes planning, not pure luck. Explore how indexed universal life insurance helps build a resilient legacy with liquidity and certainty for heirs.</w:t>
      </w:r>
    </w:p>
    <w:p w14:paraId="220A5189" w14:textId="77777777" w:rsidR="00AE77C3" w:rsidRDefault="00AE77C3">
      <w:pPr>
        <w:jc w:val="both"/>
        <w:rPr>
          <w:b/>
          <w:bCs/>
          <w:sz w:val="24"/>
          <w:szCs w:val="24"/>
        </w:rPr>
      </w:pPr>
    </w:p>
    <w:p w14:paraId="6D81A2EF" w14:textId="788EEFB5" w:rsidR="00944E4A" w:rsidRDefault="00944E4A">
      <w:pPr>
        <w:jc w:val="both"/>
        <w:rPr>
          <w:b/>
          <w:bCs/>
          <w:sz w:val="24"/>
          <w:szCs w:val="24"/>
        </w:rPr>
      </w:pPr>
      <w:r>
        <w:rPr>
          <w:b/>
          <w:bCs/>
          <w:noProof/>
          <w:sz w:val="24"/>
          <w:szCs w:val="24"/>
        </w:rPr>
        <w:drawing>
          <wp:inline distT="0" distB="0" distL="0" distR="0" wp14:anchorId="1E8EED1D" wp14:editId="6633ED23">
            <wp:extent cx="5943600" cy="395986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e-Strategic-Way-High-Net-Worth-Families-Pass-On-Wealth.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959860"/>
                    </a:xfrm>
                    <a:prstGeom prst="rect">
                      <a:avLst/>
                    </a:prstGeom>
                  </pic:spPr>
                </pic:pic>
              </a:graphicData>
            </a:graphic>
          </wp:inline>
        </w:drawing>
      </w:r>
    </w:p>
    <w:p w14:paraId="263E2CBF" w14:textId="0A68B202" w:rsidR="00AE77C3" w:rsidRDefault="00DD795A">
      <w:pPr>
        <w:jc w:val="both"/>
        <w:rPr>
          <w:b/>
          <w:bCs/>
          <w:sz w:val="24"/>
          <w:szCs w:val="24"/>
        </w:rPr>
      </w:pPr>
      <w:r>
        <w:rPr>
          <w:b/>
          <w:bCs/>
          <w:sz w:val="24"/>
          <w:szCs w:val="24"/>
        </w:rPr>
        <w:br/>
        <w:t>Content:</w:t>
      </w:r>
    </w:p>
    <w:p w14:paraId="3A475FE9" w14:textId="77777777" w:rsidR="00AE77C3" w:rsidRDefault="00AE77C3">
      <w:pPr>
        <w:jc w:val="both"/>
        <w:rPr>
          <w:b/>
          <w:bCs/>
          <w:sz w:val="24"/>
          <w:szCs w:val="24"/>
        </w:rPr>
      </w:pPr>
    </w:p>
    <w:p w14:paraId="5F373889" w14:textId="77777777" w:rsidR="00AE77C3" w:rsidRDefault="00DD795A">
      <w:pPr>
        <w:jc w:val="both"/>
        <w:rPr>
          <w:sz w:val="24"/>
          <w:szCs w:val="24"/>
        </w:rPr>
      </w:pPr>
      <w:r>
        <w:rPr>
          <w:sz w:val="24"/>
          <w:szCs w:val="24"/>
        </w:rPr>
        <w:t>Family wealth in Singapore has grown rapidly in the last decade, and along with it, the way families think about money has matured. Many households are no l</w:t>
      </w:r>
      <w:r>
        <w:rPr>
          <w:sz w:val="24"/>
          <w:szCs w:val="24"/>
        </w:rPr>
        <w:t xml:space="preserve">onger just focused on wealth accumulation. They’re asking bigger questions: </w:t>
      </w:r>
    </w:p>
    <w:p w14:paraId="6480BB7B" w14:textId="77777777" w:rsidR="00AE77C3" w:rsidRDefault="00AE77C3">
      <w:pPr>
        <w:jc w:val="both"/>
        <w:rPr>
          <w:sz w:val="24"/>
          <w:szCs w:val="24"/>
        </w:rPr>
      </w:pPr>
    </w:p>
    <w:p w14:paraId="39A5441C" w14:textId="77777777" w:rsidR="00AE77C3" w:rsidRDefault="00DD795A">
      <w:pPr>
        <w:numPr>
          <w:ilvl w:val="0"/>
          <w:numId w:val="5"/>
        </w:numPr>
        <w:jc w:val="both"/>
        <w:rPr>
          <w:i/>
          <w:iCs/>
          <w:sz w:val="24"/>
          <w:szCs w:val="24"/>
        </w:rPr>
      </w:pPr>
      <w:r>
        <w:rPr>
          <w:i/>
          <w:iCs/>
          <w:sz w:val="24"/>
          <w:szCs w:val="24"/>
        </w:rPr>
        <w:t xml:space="preserve">How do we keep what we’ve built? </w:t>
      </w:r>
    </w:p>
    <w:p w14:paraId="1432CBA1" w14:textId="77777777" w:rsidR="00AE77C3" w:rsidRDefault="00DD795A">
      <w:pPr>
        <w:numPr>
          <w:ilvl w:val="0"/>
          <w:numId w:val="5"/>
        </w:numPr>
        <w:jc w:val="both"/>
        <w:rPr>
          <w:i/>
          <w:iCs/>
          <w:sz w:val="24"/>
          <w:szCs w:val="24"/>
        </w:rPr>
      </w:pPr>
      <w:r>
        <w:rPr>
          <w:i/>
          <w:iCs/>
          <w:sz w:val="24"/>
          <w:szCs w:val="24"/>
        </w:rPr>
        <w:t xml:space="preserve">How do we pass it on smoothly? </w:t>
      </w:r>
    </w:p>
    <w:p w14:paraId="7BBA90B6" w14:textId="77777777" w:rsidR="00AE77C3" w:rsidRDefault="00DD795A">
      <w:pPr>
        <w:numPr>
          <w:ilvl w:val="0"/>
          <w:numId w:val="5"/>
        </w:numPr>
        <w:jc w:val="both"/>
        <w:rPr>
          <w:i/>
          <w:iCs/>
          <w:sz w:val="24"/>
          <w:szCs w:val="24"/>
        </w:rPr>
      </w:pPr>
      <w:r>
        <w:rPr>
          <w:i/>
          <w:iCs/>
          <w:sz w:val="24"/>
          <w:szCs w:val="24"/>
        </w:rPr>
        <w:t>How do we avoid disputes, delays, and unnecessary losses?</w:t>
      </w:r>
    </w:p>
    <w:p w14:paraId="3F4EA348" w14:textId="77777777" w:rsidR="00AE77C3" w:rsidRDefault="00AE77C3">
      <w:pPr>
        <w:jc w:val="both"/>
        <w:rPr>
          <w:sz w:val="24"/>
          <w:szCs w:val="24"/>
        </w:rPr>
      </w:pPr>
    </w:p>
    <w:p w14:paraId="46DAE316" w14:textId="77777777" w:rsidR="00AE77C3" w:rsidRDefault="00DD795A">
      <w:pPr>
        <w:jc w:val="both"/>
        <w:rPr>
          <w:sz w:val="24"/>
          <w:szCs w:val="24"/>
        </w:rPr>
      </w:pPr>
      <w:r>
        <w:rPr>
          <w:sz w:val="24"/>
          <w:szCs w:val="24"/>
        </w:rPr>
        <w:t>For high net worth individuals (HNWIs), the focus has</w:t>
      </w:r>
      <w:r>
        <w:rPr>
          <w:sz w:val="24"/>
          <w:szCs w:val="24"/>
        </w:rPr>
        <w:t xml:space="preserve"> shifted from wealth creation to preservation, effective structuring, and intentional intergenerational transfer. Indexed Universal Life (IUL) insurance serves as more than just a protection product. Globally, affluent families use it as a strategic legacy</w:t>
      </w:r>
      <w:r>
        <w:rPr>
          <w:sz w:val="24"/>
          <w:szCs w:val="24"/>
        </w:rPr>
        <w:t xml:space="preserve"> planning tool, offering liquidity, certainty, and long-term accumulation that many traditional assets cannot provide.</w:t>
      </w:r>
    </w:p>
    <w:p w14:paraId="5646AC57" w14:textId="77777777" w:rsidR="00AE77C3" w:rsidRDefault="00AE77C3">
      <w:pPr>
        <w:jc w:val="both"/>
        <w:rPr>
          <w:sz w:val="24"/>
          <w:szCs w:val="24"/>
        </w:rPr>
      </w:pPr>
    </w:p>
    <w:p w14:paraId="704E6E47" w14:textId="77777777" w:rsidR="00AE77C3" w:rsidRDefault="00DD795A">
      <w:pPr>
        <w:jc w:val="both"/>
        <w:rPr>
          <w:sz w:val="24"/>
          <w:szCs w:val="24"/>
        </w:rPr>
      </w:pPr>
      <w:r>
        <w:rPr>
          <w:sz w:val="24"/>
          <w:szCs w:val="24"/>
        </w:rPr>
        <w:t>In Singapore, affluent families often hold assets in multiple currencies, including USD, through private banking, investments, or offsho</w:t>
      </w:r>
      <w:r>
        <w:rPr>
          <w:sz w:val="24"/>
          <w:szCs w:val="24"/>
        </w:rPr>
        <w:t>re holdings. As a result, USD-denominated IUL solutions are increasingly viewed as valuable additions to a well-structured portfolio, particularly for those seeking long-term stability.</w:t>
      </w:r>
    </w:p>
    <w:p w14:paraId="0BE9907C" w14:textId="77777777" w:rsidR="00AE77C3" w:rsidRDefault="00AE77C3">
      <w:pPr>
        <w:jc w:val="both"/>
        <w:rPr>
          <w:sz w:val="24"/>
          <w:szCs w:val="24"/>
        </w:rPr>
      </w:pPr>
    </w:p>
    <w:p w14:paraId="1A588DBC" w14:textId="77777777" w:rsidR="00AE77C3" w:rsidRDefault="00DD795A">
      <w:pPr>
        <w:jc w:val="both"/>
        <w:rPr>
          <w:b/>
          <w:bCs/>
          <w:sz w:val="24"/>
          <w:szCs w:val="24"/>
        </w:rPr>
      </w:pPr>
      <w:r>
        <w:rPr>
          <w:b/>
          <w:bCs/>
          <w:sz w:val="24"/>
          <w:szCs w:val="24"/>
        </w:rPr>
        <w:t>How HNWIs think about intergenerational wealth</w:t>
      </w:r>
    </w:p>
    <w:p w14:paraId="524230F9" w14:textId="77777777" w:rsidR="00AE77C3" w:rsidRDefault="00AE77C3">
      <w:pPr>
        <w:jc w:val="both"/>
        <w:rPr>
          <w:sz w:val="24"/>
          <w:szCs w:val="24"/>
        </w:rPr>
      </w:pPr>
    </w:p>
    <w:p w14:paraId="505DABD4" w14:textId="77777777" w:rsidR="00AE77C3" w:rsidRDefault="00DD795A">
      <w:pPr>
        <w:jc w:val="both"/>
        <w:rPr>
          <w:sz w:val="24"/>
          <w:szCs w:val="24"/>
        </w:rPr>
      </w:pPr>
      <w:r>
        <w:rPr>
          <w:sz w:val="24"/>
          <w:szCs w:val="24"/>
        </w:rPr>
        <w:t>As wealth grows, plan</w:t>
      </w:r>
      <w:r>
        <w:rPr>
          <w:sz w:val="24"/>
          <w:szCs w:val="24"/>
        </w:rPr>
        <w:t>ning naturally moves beyond individual goals towards the long-term interests of the family. With that transition comes a new set of priorities such as:</w:t>
      </w:r>
    </w:p>
    <w:p w14:paraId="3495C905" w14:textId="77777777" w:rsidR="00AE77C3" w:rsidRDefault="00AE77C3">
      <w:pPr>
        <w:jc w:val="both"/>
        <w:rPr>
          <w:sz w:val="24"/>
          <w:szCs w:val="24"/>
        </w:rPr>
      </w:pPr>
    </w:p>
    <w:p w14:paraId="714D98F5" w14:textId="77777777" w:rsidR="00AE77C3" w:rsidRDefault="00DD795A">
      <w:pPr>
        <w:numPr>
          <w:ilvl w:val="0"/>
          <w:numId w:val="3"/>
        </w:numPr>
        <w:jc w:val="both"/>
        <w:rPr>
          <w:sz w:val="24"/>
          <w:szCs w:val="24"/>
        </w:rPr>
      </w:pPr>
      <w:r>
        <w:rPr>
          <w:sz w:val="24"/>
          <w:szCs w:val="24"/>
        </w:rPr>
        <w:t>Predictable and orderly wealth transfer, not dependent on market timing.</w:t>
      </w:r>
    </w:p>
    <w:p w14:paraId="48F1EE88" w14:textId="77777777" w:rsidR="00AE77C3" w:rsidRDefault="00AE77C3">
      <w:pPr>
        <w:jc w:val="both"/>
        <w:rPr>
          <w:sz w:val="24"/>
          <w:szCs w:val="24"/>
        </w:rPr>
      </w:pPr>
    </w:p>
    <w:p w14:paraId="0458B73E" w14:textId="77777777" w:rsidR="00AE77C3" w:rsidRDefault="00DD795A">
      <w:pPr>
        <w:numPr>
          <w:ilvl w:val="0"/>
          <w:numId w:val="3"/>
        </w:numPr>
        <w:jc w:val="both"/>
        <w:rPr>
          <w:sz w:val="24"/>
          <w:szCs w:val="24"/>
        </w:rPr>
      </w:pPr>
      <w:r>
        <w:rPr>
          <w:sz w:val="24"/>
          <w:szCs w:val="24"/>
        </w:rPr>
        <w:t>Liquidity at the right moment</w:t>
      </w:r>
      <w:r>
        <w:rPr>
          <w:sz w:val="24"/>
          <w:szCs w:val="24"/>
        </w:rPr>
        <w:t>, especially when estates involve property, businesses, or investments.</w:t>
      </w:r>
    </w:p>
    <w:p w14:paraId="5A7A8536" w14:textId="77777777" w:rsidR="00AE77C3" w:rsidRDefault="00AE77C3">
      <w:pPr>
        <w:jc w:val="both"/>
        <w:rPr>
          <w:sz w:val="24"/>
          <w:szCs w:val="24"/>
        </w:rPr>
      </w:pPr>
    </w:p>
    <w:p w14:paraId="29555198" w14:textId="77777777" w:rsidR="00AE77C3" w:rsidRDefault="00DD795A">
      <w:pPr>
        <w:numPr>
          <w:ilvl w:val="0"/>
          <w:numId w:val="3"/>
        </w:numPr>
        <w:jc w:val="both"/>
        <w:rPr>
          <w:sz w:val="24"/>
          <w:szCs w:val="24"/>
        </w:rPr>
      </w:pPr>
      <w:r>
        <w:rPr>
          <w:sz w:val="24"/>
          <w:szCs w:val="24"/>
        </w:rPr>
        <w:t>Clarity and fairness across beneficiaries, to reduce disputes and emotional strain.</w:t>
      </w:r>
    </w:p>
    <w:p w14:paraId="4927FA0D" w14:textId="77777777" w:rsidR="00AE77C3" w:rsidRDefault="00AE77C3">
      <w:pPr>
        <w:jc w:val="both"/>
        <w:rPr>
          <w:sz w:val="24"/>
          <w:szCs w:val="24"/>
        </w:rPr>
      </w:pPr>
    </w:p>
    <w:p w14:paraId="1DB0A9A7" w14:textId="77777777" w:rsidR="00AE77C3" w:rsidRDefault="00DD795A">
      <w:pPr>
        <w:numPr>
          <w:ilvl w:val="0"/>
          <w:numId w:val="3"/>
        </w:numPr>
        <w:jc w:val="both"/>
        <w:rPr>
          <w:sz w:val="24"/>
          <w:szCs w:val="24"/>
        </w:rPr>
      </w:pPr>
      <w:r>
        <w:rPr>
          <w:sz w:val="24"/>
          <w:szCs w:val="24"/>
        </w:rPr>
        <w:t>Protection against volatility and timing risk, because inheritance shouldn’t depend on whether the market is up or down.</w:t>
      </w:r>
    </w:p>
    <w:p w14:paraId="1D6938D9" w14:textId="77777777" w:rsidR="00AE77C3" w:rsidRDefault="00AE77C3">
      <w:pPr>
        <w:jc w:val="both"/>
        <w:rPr>
          <w:sz w:val="24"/>
          <w:szCs w:val="24"/>
        </w:rPr>
      </w:pPr>
    </w:p>
    <w:p w14:paraId="68B693C1" w14:textId="77777777" w:rsidR="00AE77C3" w:rsidRDefault="00DD795A">
      <w:pPr>
        <w:jc w:val="both"/>
        <w:rPr>
          <w:sz w:val="24"/>
          <w:szCs w:val="24"/>
        </w:rPr>
      </w:pPr>
      <w:r>
        <w:rPr>
          <w:sz w:val="24"/>
          <w:szCs w:val="24"/>
        </w:rPr>
        <w:t>Many Singapore families build wealth through property and business, which, while effective for growth, are often illiquid. This can cr</w:t>
      </w:r>
      <w:r>
        <w:rPr>
          <w:sz w:val="24"/>
          <w:szCs w:val="24"/>
        </w:rPr>
        <w:t>eate liquidity challenges, reinforcing the importance of long-term, resilient planning structures built to endure across generations.</w:t>
      </w:r>
    </w:p>
    <w:p w14:paraId="3F4F326C" w14:textId="77777777" w:rsidR="00AE77C3" w:rsidRDefault="00AE77C3">
      <w:pPr>
        <w:jc w:val="both"/>
        <w:rPr>
          <w:sz w:val="24"/>
          <w:szCs w:val="24"/>
        </w:rPr>
      </w:pPr>
    </w:p>
    <w:p w14:paraId="5C4E34DF" w14:textId="77777777" w:rsidR="00AE77C3" w:rsidRDefault="00DD795A">
      <w:pPr>
        <w:jc w:val="both"/>
        <w:rPr>
          <w:b/>
          <w:bCs/>
          <w:sz w:val="24"/>
          <w:szCs w:val="24"/>
        </w:rPr>
      </w:pPr>
      <w:r>
        <w:rPr>
          <w:b/>
          <w:bCs/>
          <w:sz w:val="24"/>
          <w:szCs w:val="24"/>
        </w:rPr>
        <w:t>Growing wealth with legacy in mind</w:t>
      </w:r>
    </w:p>
    <w:p w14:paraId="3F4F2E79" w14:textId="77777777" w:rsidR="00AE77C3" w:rsidRDefault="00AE77C3">
      <w:pPr>
        <w:jc w:val="both"/>
        <w:rPr>
          <w:sz w:val="24"/>
          <w:szCs w:val="24"/>
        </w:rPr>
      </w:pPr>
    </w:p>
    <w:p w14:paraId="5BB69B2B" w14:textId="77777777" w:rsidR="00AE77C3" w:rsidRDefault="00DD795A">
      <w:pPr>
        <w:jc w:val="both"/>
        <w:rPr>
          <w:i/>
          <w:iCs/>
          <w:sz w:val="24"/>
          <w:szCs w:val="24"/>
        </w:rPr>
      </w:pPr>
      <w:r>
        <w:rPr>
          <w:sz w:val="24"/>
          <w:szCs w:val="24"/>
        </w:rPr>
        <w:t xml:space="preserve">A key difference between personal investing and legacy planning is this: </w:t>
      </w:r>
      <w:r>
        <w:rPr>
          <w:i/>
          <w:iCs/>
          <w:sz w:val="24"/>
          <w:szCs w:val="24"/>
        </w:rPr>
        <w:t>Legacy capit</w:t>
      </w:r>
      <w:r>
        <w:rPr>
          <w:i/>
          <w:iCs/>
          <w:sz w:val="24"/>
          <w:szCs w:val="24"/>
        </w:rPr>
        <w:t xml:space="preserve">al has to survive longer than you. </w:t>
      </w:r>
      <w:r>
        <w:rPr>
          <w:sz w:val="24"/>
          <w:szCs w:val="24"/>
        </w:rPr>
        <w:t>This perspective changes how families approach wealth accumulation. Instead of asking, “How much can I make this year?”, the question becomes, “How do I grow steadily without putting the legacy at unnecessary risk?”</w:t>
      </w:r>
    </w:p>
    <w:p w14:paraId="076B97D7" w14:textId="77777777" w:rsidR="00AE77C3" w:rsidRDefault="00AE77C3">
      <w:pPr>
        <w:jc w:val="both"/>
        <w:rPr>
          <w:sz w:val="24"/>
          <w:szCs w:val="24"/>
        </w:rPr>
      </w:pPr>
    </w:p>
    <w:p w14:paraId="45ACD711" w14:textId="77777777" w:rsidR="00AE77C3" w:rsidRDefault="00DD795A">
      <w:pPr>
        <w:jc w:val="both"/>
        <w:rPr>
          <w:sz w:val="24"/>
          <w:szCs w:val="24"/>
        </w:rPr>
      </w:pPr>
      <w:r>
        <w:rPr>
          <w:sz w:val="24"/>
          <w:szCs w:val="24"/>
        </w:rPr>
        <w:t>This</w:t>
      </w:r>
      <w:r>
        <w:rPr>
          <w:sz w:val="24"/>
          <w:szCs w:val="24"/>
        </w:rPr>
        <w:t xml:space="preserve"> usually means:</w:t>
      </w:r>
    </w:p>
    <w:p w14:paraId="12C3775A" w14:textId="77777777" w:rsidR="00AE77C3" w:rsidRDefault="00AE77C3">
      <w:pPr>
        <w:jc w:val="both"/>
        <w:rPr>
          <w:sz w:val="24"/>
          <w:szCs w:val="24"/>
        </w:rPr>
      </w:pPr>
    </w:p>
    <w:p w14:paraId="6FC678CE" w14:textId="77777777" w:rsidR="00AE77C3" w:rsidRDefault="00DD795A">
      <w:pPr>
        <w:numPr>
          <w:ilvl w:val="0"/>
          <w:numId w:val="10"/>
        </w:numPr>
        <w:jc w:val="both"/>
        <w:rPr>
          <w:sz w:val="24"/>
          <w:szCs w:val="24"/>
        </w:rPr>
      </w:pPr>
      <w:r>
        <w:rPr>
          <w:sz w:val="24"/>
          <w:szCs w:val="24"/>
        </w:rPr>
        <w:t>Staying invested enough to participate in market growth.</w:t>
      </w:r>
    </w:p>
    <w:p w14:paraId="2C15711F" w14:textId="77777777" w:rsidR="00AE77C3" w:rsidRDefault="00AE77C3">
      <w:pPr>
        <w:jc w:val="both"/>
        <w:rPr>
          <w:sz w:val="24"/>
          <w:szCs w:val="24"/>
        </w:rPr>
      </w:pPr>
    </w:p>
    <w:p w14:paraId="4DA17685" w14:textId="77777777" w:rsidR="00AE77C3" w:rsidRDefault="00DD795A">
      <w:pPr>
        <w:numPr>
          <w:ilvl w:val="0"/>
          <w:numId w:val="10"/>
        </w:numPr>
        <w:jc w:val="both"/>
        <w:rPr>
          <w:sz w:val="24"/>
          <w:szCs w:val="24"/>
        </w:rPr>
      </w:pPr>
      <w:r>
        <w:rPr>
          <w:sz w:val="24"/>
          <w:szCs w:val="24"/>
        </w:rPr>
        <w:t>Avoiding strategies that rely heavily on timing.</w:t>
      </w:r>
    </w:p>
    <w:p w14:paraId="464CB85D" w14:textId="77777777" w:rsidR="00AE77C3" w:rsidRDefault="00AE77C3">
      <w:pPr>
        <w:jc w:val="both"/>
        <w:rPr>
          <w:sz w:val="24"/>
          <w:szCs w:val="24"/>
        </w:rPr>
      </w:pPr>
    </w:p>
    <w:p w14:paraId="08499EC8" w14:textId="77777777" w:rsidR="00AE77C3" w:rsidRDefault="00DD795A">
      <w:pPr>
        <w:numPr>
          <w:ilvl w:val="0"/>
          <w:numId w:val="10"/>
        </w:numPr>
        <w:jc w:val="both"/>
        <w:rPr>
          <w:sz w:val="24"/>
          <w:szCs w:val="24"/>
        </w:rPr>
      </w:pPr>
      <w:r>
        <w:rPr>
          <w:sz w:val="24"/>
          <w:szCs w:val="24"/>
        </w:rPr>
        <w:t>Using structured approaches that are easier to maintain consistently.</w:t>
      </w:r>
    </w:p>
    <w:p w14:paraId="0B5D0DB7" w14:textId="77777777" w:rsidR="00AE77C3" w:rsidRDefault="00AE77C3">
      <w:pPr>
        <w:jc w:val="both"/>
        <w:rPr>
          <w:sz w:val="24"/>
          <w:szCs w:val="24"/>
        </w:rPr>
      </w:pPr>
    </w:p>
    <w:p w14:paraId="0BE3DBA8" w14:textId="77777777" w:rsidR="00AE77C3" w:rsidRDefault="00DD795A">
      <w:pPr>
        <w:numPr>
          <w:ilvl w:val="0"/>
          <w:numId w:val="10"/>
        </w:numPr>
        <w:jc w:val="both"/>
        <w:rPr>
          <w:sz w:val="24"/>
          <w:szCs w:val="24"/>
        </w:rPr>
      </w:pPr>
      <w:r>
        <w:rPr>
          <w:sz w:val="24"/>
          <w:szCs w:val="24"/>
        </w:rPr>
        <w:lastRenderedPageBreak/>
        <w:t>Not letting emotional decisions derail long-term plans.</w:t>
      </w:r>
    </w:p>
    <w:p w14:paraId="3F6E7C05" w14:textId="77777777" w:rsidR="00AE77C3" w:rsidRDefault="00AE77C3">
      <w:pPr>
        <w:jc w:val="both"/>
        <w:rPr>
          <w:sz w:val="24"/>
          <w:szCs w:val="24"/>
        </w:rPr>
      </w:pPr>
    </w:p>
    <w:p w14:paraId="0C98AA4E" w14:textId="77777777" w:rsidR="00AE77C3" w:rsidRDefault="00DD795A">
      <w:pPr>
        <w:jc w:val="both"/>
        <w:rPr>
          <w:sz w:val="24"/>
          <w:szCs w:val="24"/>
        </w:rPr>
      </w:pPr>
      <w:r>
        <w:rPr>
          <w:sz w:val="24"/>
          <w:szCs w:val="24"/>
        </w:rPr>
        <w:t>Thi</w:t>
      </w:r>
      <w:r>
        <w:rPr>
          <w:sz w:val="24"/>
          <w:szCs w:val="24"/>
        </w:rPr>
        <w:t xml:space="preserve">s is where IUL becomes relevant. It can support long-term growth objectives while also keeping a clear transfer outcome in place. And yes, mass affluent Singaporeans </w:t>
      </w:r>
      <w:commentRangeStart w:id="0"/>
      <w:r>
        <w:fldChar w:fldCharType="begin"/>
      </w:r>
      <w:r>
        <w:instrText xml:space="preserve"> HYPERLINK "https://www.sg.cntaiping.com/en/financial-articles/how-mass-affluent-singaporeans-can-avoid-wealth-setbacks/" \h </w:instrText>
      </w:r>
      <w:r>
        <w:fldChar w:fldCharType="separate"/>
      </w:r>
      <w:r>
        <w:rPr>
          <w:color w:val="1155CC"/>
          <w:sz w:val="24"/>
          <w:szCs w:val="24"/>
          <w:u w:val="single"/>
        </w:rPr>
        <w:t>can avoid wealth setbacks</w:t>
      </w:r>
      <w:r>
        <w:rPr>
          <w:color w:val="1155CC"/>
          <w:sz w:val="24"/>
          <w:szCs w:val="24"/>
          <w:u w:val="single"/>
        </w:rPr>
        <w:fldChar w:fldCharType="end"/>
      </w:r>
      <w:commentRangeEnd w:id="0"/>
      <w:r w:rsidR="00C70B33">
        <w:rPr>
          <w:rStyle w:val="CommentReference"/>
        </w:rPr>
        <w:commentReference w:id="0"/>
      </w:r>
      <w:r>
        <w:rPr>
          <w:sz w:val="24"/>
          <w:szCs w:val="24"/>
        </w:rPr>
        <w:t xml:space="preserve"> too, if they adopt this kind of long-term thinking early, before their estate becomes complicated.</w:t>
      </w:r>
    </w:p>
    <w:p w14:paraId="57CA27AF" w14:textId="77777777" w:rsidR="00AE77C3" w:rsidRDefault="00AE77C3">
      <w:pPr>
        <w:jc w:val="both"/>
        <w:rPr>
          <w:sz w:val="24"/>
          <w:szCs w:val="24"/>
        </w:rPr>
      </w:pPr>
    </w:p>
    <w:p w14:paraId="01614B01" w14:textId="77777777" w:rsidR="00AE77C3" w:rsidRDefault="00DD795A">
      <w:pPr>
        <w:jc w:val="both"/>
        <w:rPr>
          <w:b/>
          <w:bCs/>
          <w:sz w:val="24"/>
          <w:szCs w:val="24"/>
        </w:rPr>
      </w:pPr>
      <w:r>
        <w:rPr>
          <w:b/>
          <w:bCs/>
          <w:sz w:val="24"/>
          <w:szCs w:val="24"/>
        </w:rPr>
        <w:t>Inde</w:t>
      </w:r>
      <w:r>
        <w:rPr>
          <w:b/>
          <w:bCs/>
          <w:sz w:val="24"/>
          <w:szCs w:val="24"/>
        </w:rPr>
        <w:t>xed Universal Life insurance as a strategic legacy tool</w:t>
      </w:r>
    </w:p>
    <w:p w14:paraId="0C872475" w14:textId="77777777" w:rsidR="00AE77C3" w:rsidRDefault="00AE77C3">
      <w:pPr>
        <w:jc w:val="both"/>
        <w:rPr>
          <w:sz w:val="24"/>
          <w:szCs w:val="24"/>
        </w:rPr>
      </w:pPr>
    </w:p>
    <w:p w14:paraId="378E4DBC" w14:textId="77777777" w:rsidR="00AE77C3" w:rsidRDefault="00DD795A">
      <w:pPr>
        <w:jc w:val="both"/>
        <w:rPr>
          <w:sz w:val="24"/>
          <w:szCs w:val="24"/>
        </w:rPr>
      </w:pPr>
      <w:r>
        <w:rPr>
          <w:sz w:val="24"/>
          <w:szCs w:val="24"/>
        </w:rPr>
        <w:t>To keep it simple: IUL is designed to help families accumulate policy value over time, while keeping wealth transfer outcomes structured and predictable. It can be positioned as a legacy planning ins</w:t>
      </w:r>
      <w:r>
        <w:rPr>
          <w:sz w:val="24"/>
          <w:szCs w:val="24"/>
        </w:rPr>
        <w:t>trument that aims to deliver outcomes like:</w:t>
      </w:r>
    </w:p>
    <w:p w14:paraId="6948F13C" w14:textId="77777777" w:rsidR="00AE77C3" w:rsidRDefault="00AE77C3">
      <w:pPr>
        <w:jc w:val="both"/>
        <w:rPr>
          <w:sz w:val="24"/>
          <w:szCs w:val="24"/>
        </w:rPr>
      </w:pPr>
    </w:p>
    <w:p w14:paraId="2E5B7B57" w14:textId="77777777" w:rsidR="00AE77C3" w:rsidRDefault="00DD795A">
      <w:pPr>
        <w:numPr>
          <w:ilvl w:val="0"/>
          <w:numId w:val="11"/>
        </w:numPr>
        <w:jc w:val="both"/>
        <w:rPr>
          <w:sz w:val="24"/>
          <w:szCs w:val="24"/>
        </w:rPr>
      </w:pPr>
      <w:r>
        <w:rPr>
          <w:b/>
          <w:bCs/>
          <w:sz w:val="24"/>
          <w:szCs w:val="24"/>
        </w:rPr>
        <w:t xml:space="preserve">Market-linked growth potential – </w:t>
      </w:r>
      <w:r>
        <w:rPr>
          <w:sz w:val="24"/>
          <w:szCs w:val="24"/>
        </w:rPr>
        <w:t>The policy value can be linked to the performance of market indices, meaning there may be upside potential without directly “buying into” the market in the same way as a traditio</w:t>
      </w:r>
      <w:r>
        <w:rPr>
          <w:sz w:val="24"/>
          <w:szCs w:val="24"/>
        </w:rPr>
        <w:t>nal investment.</w:t>
      </w:r>
    </w:p>
    <w:p w14:paraId="06978BB4" w14:textId="77777777" w:rsidR="00AE77C3" w:rsidRDefault="00AE77C3">
      <w:pPr>
        <w:jc w:val="both"/>
        <w:rPr>
          <w:sz w:val="24"/>
          <w:szCs w:val="24"/>
        </w:rPr>
      </w:pPr>
    </w:p>
    <w:p w14:paraId="7ED73CB9" w14:textId="77777777" w:rsidR="00AE77C3" w:rsidRDefault="00DD795A">
      <w:pPr>
        <w:numPr>
          <w:ilvl w:val="0"/>
          <w:numId w:val="11"/>
        </w:numPr>
        <w:jc w:val="both"/>
        <w:rPr>
          <w:sz w:val="24"/>
          <w:szCs w:val="24"/>
        </w:rPr>
      </w:pPr>
      <w:r>
        <w:rPr>
          <w:b/>
          <w:bCs/>
          <w:sz w:val="24"/>
          <w:szCs w:val="24"/>
        </w:rPr>
        <w:t>Capital protection features –</w:t>
      </w:r>
      <w:r>
        <w:rPr>
          <w:sz w:val="24"/>
          <w:szCs w:val="24"/>
        </w:rPr>
        <w:t xml:space="preserve"> It is structured with a built-in floor rate that may reduce exposure to direct market falls.</w:t>
      </w:r>
    </w:p>
    <w:p w14:paraId="22417839" w14:textId="77777777" w:rsidR="00AE77C3" w:rsidRDefault="00AE77C3">
      <w:pPr>
        <w:jc w:val="both"/>
        <w:rPr>
          <w:sz w:val="24"/>
          <w:szCs w:val="24"/>
        </w:rPr>
      </w:pPr>
    </w:p>
    <w:p w14:paraId="44ADF5A7" w14:textId="77777777" w:rsidR="00AE77C3" w:rsidRDefault="00DD795A">
      <w:pPr>
        <w:numPr>
          <w:ilvl w:val="0"/>
          <w:numId w:val="11"/>
        </w:numPr>
        <w:jc w:val="both"/>
        <w:rPr>
          <w:sz w:val="24"/>
          <w:szCs w:val="24"/>
        </w:rPr>
      </w:pPr>
      <w:r>
        <w:rPr>
          <w:b/>
          <w:bCs/>
          <w:sz w:val="24"/>
          <w:szCs w:val="24"/>
        </w:rPr>
        <w:t>Long-term accumulation –</w:t>
      </w:r>
      <w:r>
        <w:rPr>
          <w:sz w:val="24"/>
          <w:szCs w:val="24"/>
        </w:rPr>
        <w:t xml:space="preserve"> It encourages disciplined accumulation, which is essential for families seeking steady long-term growth of legacy capital.</w:t>
      </w:r>
    </w:p>
    <w:p w14:paraId="60B5E46D" w14:textId="77777777" w:rsidR="00AE77C3" w:rsidRDefault="00AE77C3">
      <w:pPr>
        <w:jc w:val="both"/>
        <w:rPr>
          <w:sz w:val="24"/>
          <w:szCs w:val="24"/>
        </w:rPr>
      </w:pPr>
    </w:p>
    <w:p w14:paraId="3D0924DB" w14:textId="77777777" w:rsidR="00AE77C3" w:rsidRDefault="00DD795A">
      <w:pPr>
        <w:numPr>
          <w:ilvl w:val="0"/>
          <w:numId w:val="11"/>
        </w:numPr>
        <w:jc w:val="both"/>
        <w:rPr>
          <w:sz w:val="24"/>
          <w:szCs w:val="24"/>
        </w:rPr>
      </w:pPr>
      <w:r>
        <w:rPr>
          <w:b/>
          <w:bCs/>
          <w:sz w:val="24"/>
          <w:szCs w:val="24"/>
        </w:rPr>
        <w:t xml:space="preserve">Structured death benefit outcomes – </w:t>
      </w:r>
      <w:r>
        <w:rPr>
          <w:sz w:val="24"/>
          <w:szCs w:val="24"/>
        </w:rPr>
        <w:t>This is one of the biggest reasons affluent families consider insurance as part of estate plann</w:t>
      </w:r>
      <w:r>
        <w:rPr>
          <w:sz w:val="24"/>
          <w:szCs w:val="24"/>
        </w:rPr>
        <w:t>ing: it offers a clear mechanism for transfer.</w:t>
      </w:r>
    </w:p>
    <w:p w14:paraId="22D7B7AF" w14:textId="77777777" w:rsidR="00AE77C3" w:rsidRDefault="00AE77C3">
      <w:pPr>
        <w:jc w:val="both"/>
        <w:rPr>
          <w:sz w:val="24"/>
          <w:szCs w:val="24"/>
        </w:rPr>
      </w:pPr>
    </w:p>
    <w:p w14:paraId="48AE6B0C" w14:textId="7C22090E" w:rsidR="00AE77C3" w:rsidRDefault="00DD795A" w:rsidP="00C70B33">
      <w:pPr>
        <w:rPr>
          <w:sz w:val="24"/>
          <w:szCs w:val="24"/>
        </w:rPr>
      </w:pPr>
      <w:r>
        <w:rPr>
          <w:sz w:val="24"/>
          <w:szCs w:val="24"/>
        </w:rPr>
        <w:t>When used appropriately, IUL complements a broader wealth strategy. It does not replace property, businesses, or investments, but adds certainty at the point of inheritance, which many portfolios lack. For th</w:t>
      </w:r>
      <w:r>
        <w:rPr>
          <w:sz w:val="24"/>
          <w:szCs w:val="24"/>
        </w:rPr>
        <w:t xml:space="preserve">is reason, families increasingly seek </w:t>
      </w:r>
      <w:commentRangeStart w:id="1"/>
      <w:r w:rsidR="00C70B33">
        <w:rPr>
          <w:bCs/>
          <w:sz w:val="24"/>
          <w:szCs w:val="24"/>
        </w:rPr>
        <w:fldChar w:fldCharType="begin"/>
      </w:r>
      <w:r w:rsidR="00C70B33">
        <w:rPr>
          <w:bCs/>
          <w:sz w:val="24"/>
          <w:szCs w:val="24"/>
        </w:rPr>
        <w:instrText xml:space="preserve"> HYPERLINK "https://www.sg.cntaiping.com/en/personal/life/whole-life/" </w:instrText>
      </w:r>
      <w:r w:rsidR="00C70B33">
        <w:rPr>
          <w:bCs/>
          <w:sz w:val="24"/>
          <w:szCs w:val="24"/>
        </w:rPr>
      </w:r>
      <w:r w:rsidR="00C70B33">
        <w:rPr>
          <w:bCs/>
          <w:sz w:val="24"/>
          <w:szCs w:val="24"/>
        </w:rPr>
        <w:fldChar w:fldCharType="separate"/>
      </w:r>
      <w:r w:rsidRPr="00C70B33">
        <w:rPr>
          <w:rStyle w:val="Hyperlink"/>
          <w:bCs/>
          <w:sz w:val="24"/>
          <w:szCs w:val="24"/>
        </w:rPr>
        <w:t>life insurance plans in Singapore</w:t>
      </w:r>
      <w:r w:rsidR="00C70B33">
        <w:rPr>
          <w:bCs/>
          <w:sz w:val="24"/>
          <w:szCs w:val="24"/>
        </w:rPr>
        <w:fldChar w:fldCharType="end"/>
      </w:r>
      <w:commentRangeEnd w:id="1"/>
      <w:r w:rsidR="00C70B33">
        <w:rPr>
          <w:rStyle w:val="CommentReference"/>
        </w:rPr>
        <w:commentReference w:id="1"/>
      </w:r>
      <w:r>
        <w:rPr>
          <w:sz w:val="24"/>
          <w:szCs w:val="24"/>
        </w:rPr>
        <w:t xml:space="preserve"> that offer more than basic protection.</w:t>
      </w:r>
    </w:p>
    <w:p w14:paraId="664D8738" w14:textId="77777777" w:rsidR="00AE77C3" w:rsidRDefault="00AE77C3">
      <w:pPr>
        <w:jc w:val="both"/>
        <w:rPr>
          <w:sz w:val="24"/>
          <w:szCs w:val="24"/>
        </w:rPr>
      </w:pPr>
    </w:p>
    <w:p w14:paraId="474963B5" w14:textId="77777777" w:rsidR="00AE77C3" w:rsidRDefault="00DD795A">
      <w:pPr>
        <w:jc w:val="both"/>
        <w:rPr>
          <w:b/>
          <w:bCs/>
          <w:sz w:val="24"/>
          <w:szCs w:val="24"/>
        </w:rPr>
      </w:pPr>
      <w:r>
        <w:rPr>
          <w:b/>
          <w:bCs/>
          <w:sz w:val="24"/>
          <w:szCs w:val="24"/>
        </w:rPr>
        <w:t>Strategic Indexed Universal Life solutions for different legacy objectives</w:t>
      </w:r>
    </w:p>
    <w:p w14:paraId="6582F3F6" w14:textId="77777777" w:rsidR="00AE77C3" w:rsidRDefault="00AE77C3">
      <w:pPr>
        <w:jc w:val="both"/>
        <w:rPr>
          <w:sz w:val="24"/>
          <w:szCs w:val="24"/>
        </w:rPr>
      </w:pPr>
    </w:p>
    <w:p w14:paraId="6BD62312" w14:textId="77777777" w:rsidR="00AE77C3" w:rsidRDefault="00DD795A">
      <w:pPr>
        <w:jc w:val="both"/>
        <w:rPr>
          <w:sz w:val="24"/>
          <w:szCs w:val="24"/>
        </w:rPr>
      </w:pPr>
      <w:r>
        <w:rPr>
          <w:sz w:val="24"/>
          <w:szCs w:val="24"/>
        </w:rPr>
        <w:t>In legacy planning, it’s never “one-size-fits-all”. Families may hav</w:t>
      </w:r>
      <w:r>
        <w:rPr>
          <w:sz w:val="24"/>
          <w:szCs w:val="24"/>
        </w:rPr>
        <w:t xml:space="preserve">e varying objectives, even within the same household. Some </w:t>
      </w:r>
      <w:proofErr w:type="spellStart"/>
      <w:r>
        <w:rPr>
          <w:sz w:val="24"/>
          <w:szCs w:val="24"/>
        </w:rPr>
        <w:t>prioritise</w:t>
      </w:r>
      <w:proofErr w:type="spellEnd"/>
      <w:r>
        <w:rPr>
          <w:sz w:val="24"/>
          <w:szCs w:val="24"/>
        </w:rPr>
        <w:t xml:space="preserve"> estate certainty, while others focus on growth alongside legacy considerations.</w:t>
      </w:r>
    </w:p>
    <w:p w14:paraId="110C494D" w14:textId="77777777" w:rsidR="00AE77C3" w:rsidRDefault="00AE77C3">
      <w:pPr>
        <w:jc w:val="both"/>
        <w:rPr>
          <w:sz w:val="24"/>
          <w:szCs w:val="24"/>
        </w:rPr>
      </w:pPr>
    </w:p>
    <w:p w14:paraId="1F64C7D8" w14:textId="77777777" w:rsidR="00AE77C3" w:rsidRDefault="00DD795A">
      <w:pPr>
        <w:jc w:val="both"/>
        <w:rPr>
          <w:sz w:val="24"/>
          <w:szCs w:val="24"/>
        </w:rPr>
      </w:pPr>
      <w:r>
        <w:rPr>
          <w:sz w:val="24"/>
          <w:szCs w:val="24"/>
        </w:rPr>
        <w:lastRenderedPageBreak/>
        <w:t xml:space="preserve">Offering two solutions within the same strategic framework can address these differing needs. </w:t>
      </w:r>
      <w:commentRangeStart w:id="3"/>
      <w:r>
        <w:fldChar w:fldCharType="begin"/>
      </w:r>
      <w:r>
        <w:instrText xml:space="preserve"> HYPERLIN</w:instrText>
      </w:r>
      <w:r>
        <w:instrText xml:space="preserve">K "https://www.sg.cntaiping.com/en/personal/infinite-series/infinite-indexed-legacy-usd/" \h </w:instrText>
      </w:r>
      <w:r>
        <w:fldChar w:fldCharType="separate"/>
      </w:r>
      <w:r>
        <w:rPr>
          <w:color w:val="1155CC"/>
          <w:sz w:val="24"/>
          <w:szCs w:val="24"/>
          <w:u w:val="single"/>
        </w:rPr>
        <w:t>Infinite Indexed Legacy USD</w:t>
      </w:r>
      <w:r>
        <w:rPr>
          <w:color w:val="1155CC"/>
          <w:sz w:val="24"/>
          <w:szCs w:val="24"/>
          <w:u w:val="single"/>
        </w:rPr>
        <w:fldChar w:fldCharType="end"/>
      </w:r>
      <w:commentRangeEnd w:id="3"/>
      <w:r w:rsidR="00C70B33">
        <w:rPr>
          <w:rStyle w:val="CommentReference"/>
        </w:rPr>
        <w:commentReference w:id="3"/>
      </w:r>
      <w:r>
        <w:rPr>
          <w:sz w:val="24"/>
          <w:szCs w:val="24"/>
        </w:rPr>
        <w:t xml:space="preserve"> and </w:t>
      </w:r>
      <w:commentRangeStart w:id="4"/>
      <w:r>
        <w:fldChar w:fldCharType="begin"/>
      </w:r>
      <w:r>
        <w:instrText xml:space="preserve"> HYPERLINK "https://www.sg.cntaiping.com/en/personal/infinite-series/infinite-indexed-wealth-usd/" \h </w:instrText>
      </w:r>
      <w:r>
        <w:fldChar w:fldCharType="separate"/>
      </w:r>
      <w:r>
        <w:rPr>
          <w:color w:val="1155CC"/>
          <w:sz w:val="24"/>
          <w:szCs w:val="24"/>
          <w:u w:val="single"/>
        </w:rPr>
        <w:t>Infinite Indexed Wealth U</w:t>
      </w:r>
      <w:r>
        <w:rPr>
          <w:color w:val="1155CC"/>
          <w:sz w:val="24"/>
          <w:szCs w:val="24"/>
          <w:u w:val="single"/>
        </w:rPr>
        <w:t>SD</w:t>
      </w:r>
      <w:r>
        <w:rPr>
          <w:color w:val="1155CC"/>
          <w:sz w:val="24"/>
          <w:szCs w:val="24"/>
          <w:u w:val="single"/>
        </w:rPr>
        <w:fldChar w:fldCharType="end"/>
      </w:r>
      <w:commentRangeEnd w:id="4"/>
      <w:r w:rsidR="00C70B33">
        <w:rPr>
          <w:rStyle w:val="CommentReference"/>
        </w:rPr>
        <w:commentReference w:id="4"/>
      </w:r>
      <w:r>
        <w:rPr>
          <w:sz w:val="24"/>
          <w:szCs w:val="24"/>
        </w:rPr>
        <w:t xml:space="preserve"> can be introduced as options designed for legacy planning and wealth transfer. </w:t>
      </w:r>
    </w:p>
    <w:p w14:paraId="78537E22" w14:textId="77777777" w:rsidR="00AE77C3" w:rsidRDefault="00AE77C3">
      <w:pPr>
        <w:jc w:val="both"/>
        <w:rPr>
          <w:sz w:val="24"/>
          <w:szCs w:val="24"/>
        </w:rPr>
      </w:pPr>
    </w:p>
    <w:p w14:paraId="361AE84C" w14:textId="77777777" w:rsidR="00AE77C3" w:rsidRDefault="00DD795A">
      <w:pPr>
        <w:numPr>
          <w:ilvl w:val="0"/>
          <w:numId w:val="8"/>
        </w:numPr>
        <w:jc w:val="both"/>
        <w:rPr>
          <w:b/>
          <w:bCs/>
          <w:sz w:val="24"/>
          <w:szCs w:val="24"/>
        </w:rPr>
      </w:pPr>
      <w:r>
        <w:rPr>
          <w:b/>
          <w:bCs/>
          <w:sz w:val="24"/>
          <w:szCs w:val="24"/>
        </w:rPr>
        <w:t xml:space="preserve">A plan that </w:t>
      </w:r>
      <w:proofErr w:type="spellStart"/>
      <w:r>
        <w:rPr>
          <w:b/>
          <w:bCs/>
          <w:sz w:val="24"/>
          <w:szCs w:val="24"/>
        </w:rPr>
        <w:t>prioritises</w:t>
      </w:r>
      <w:proofErr w:type="spellEnd"/>
      <w:r>
        <w:rPr>
          <w:b/>
          <w:bCs/>
          <w:sz w:val="24"/>
          <w:szCs w:val="24"/>
        </w:rPr>
        <w:t xml:space="preserve"> estate certainty and structured transfer</w:t>
      </w:r>
    </w:p>
    <w:p w14:paraId="414E6E85" w14:textId="77777777" w:rsidR="00AE77C3" w:rsidRDefault="00AE77C3">
      <w:pPr>
        <w:jc w:val="both"/>
        <w:rPr>
          <w:sz w:val="24"/>
          <w:szCs w:val="24"/>
        </w:rPr>
      </w:pPr>
    </w:p>
    <w:p w14:paraId="78F2C605" w14:textId="77777777" w:rsidR="00AE77C3" w:rsidRDefault="00DD795A">
      <w:pPr>
        <w:jc w:val="both"/>
        <w:rPr>
          <w:sz w:val="24"/>
          <w:szCs w:val="24"/>
        </w:rPr>
      </w:pPr>
      <w:r>
        <w:rPr>
          <w:sz w:val="24"/>
          <w:szCs w:val="24"/>
        </w:rPr>
        <w:t xml:space="preserve">Some families prefer plans that </w:t>
      </w:r>
      <w:proofErr w:type="spellStart"/>
      <w:r>
        <w:rPr>
          <w:sz w:val="24"/>
          <w:szCs w:val="24"/>
        </w:rPr>
        <w:t>emphasise</w:t>
      </w:r>
      <w:proofErr w:type="spellEnd"/>
      <w:r>
        <w:rPr>
          <w:sz w:val="24"/>
          <w:szCs w:val="24"/>
        </w:rPr>
        <w:t xml:space="preserve"> legacy clarity, enabling confident planning for wealth distribut</w:t>
      </w:r>
      <w:r>
        <w:rPr>
          <w:sz w:val="24"/>
          <w:szCs w:val="24"/>
        </w:rPr>
        <w:t>ion among beneficiaries. This tends to appeal to those who are already financially comfortable and who want to focus on orderly succession, fairness, and certainty.</w:t>
      </w:r>
    </w:p>
    <w:p w14:paraId="14A3A8A0" w14:textId="77777777" w:rsidR="00AE77C3" w:rsidRDefault="00AE77C3">
      <w:pPr>
        <w:jc w:val="both"/>
        <w:rPr>
          <w:sz w:val="24"/>
          <w:szCs w:val="24"/>
        </w:rPr>
      </w:pPr>
    </w:p>
    <w:p w14:paraId="6588D0DF" w14:textId="77777777" w:rsidR="00AE77C3" w:rsidRDefault="00DD795A">
      <w:pPr>
        <w:numPr>
          <w:ilvl w:val="0"/>
          <w:numId w:val="6"/>
        </w:numPr>
        <w:jc w:val="both"/>
        <w:rPr>
          <w:b/>
          <w:bCs/>
          <w:sz w:val="24"/>
          <w:szCs w:val="24"/>
        </w:rPr>
      </w:pPr>
      <w:r>
        <w:rPr>
          <w:b/>
          <w:bCs/>
          <w:sz w:val="24"/>
          <w:szCs w:val="24"/>
        </w:rPr>
        <w:t>A plan designed for wealth growth today, with flexibility later</w:t>
      </w:r>
    </w:p>
    <w:p w14:paraId="4CC1F78B" w14:textId="77777777" w:rsidR="00AE77C3" w:rsidRDefault="00AE77C3">
      <w:pPr>
        <w:jc w:val="both"/>
        <w:rPr>
          <w:sz w:val="24"/>
          <w:szCs w:val="24"/>
        </w:rPr>
      </w:pPr>
    </w:p>
    <w:p w14:paraId="484264FD" w14:textId="77777777" w:rsidR="00AE77C3" w:rsidRDefault="00DD795A">
      <w:pPr>
        <w:jc w:val="both"/>
        <w:rPr>
          <w:sz w:val="24"/>
          <w:szCs w:val="24"/>
        </w:rPr>
      </w:pPr>
      <w:r>
        <w:rPr>
          <w:sz w:val="24"/>
          <w:szCs w:val="24"/>
        </w:rPr>
        <w:t xml:space="preserve">Other families may still </w:t>
      </w:r>
      <w:r>
        <w:rPr>
          <w:sz w:val="24"/>
          <w:szCs w:val="24"/>
        </w:rPr>
        <w:t xml:space="preserve">be in an active wealth-building phase. They want their </w:t>
      </w:r>
      <w:proofErr w:type="gramStart"/>
      <w:r>
        <w:rPr>
          <w:sz w:val="24"/>
          <w:szCs w:val="24"/>
        </w:rPr>
        <w:t>wealth  to</w:t>
      </w:r>
      <w:proofErr w:type="gramEnd"/>
      <w:r>
        <w:rPr>
          <w:sz w:val="24"/>
          <w:szCs w:val="24"/>
        </w:rPr>
        <w:t xml:space="preserve"> grow, but they also want the option to convert that growth into a legacy structure when needed. This approach suits families expanding business interests or accumulating assets who </w:t>
      </w:r>
      <w:proofErr w:type="spellStart"/>
      <w:r>
        <w:rPr>
          <w:sz w:val="24"/>
          <w:szCs w:val="24"/>
        </w:rPr>
        <w:t>recognise</w:t>
      </w:r>
      <w:proofErr w:type="spellEnd"/>
      <w:r>
        <w:rPr>
          <w:sz w:val="24"/>
          <w:szCs w:val="24"/>
        </w:rPr>
        <w:t xml:space="preserve"> the need for future wealth transfer planning.</w:t>
      </w:r>
    </w:p>
    <w:p w14:paraId="3629216A" w14:textId="77777777" w:rsidR="00AE77C3" w:rsidRDefault="00AE77C3">
      <w:pPr>
        <w:jc w:val="both"/>
        <w:rPr>
          <w:sz w:val="24"/>
          <w:szCs w:val="24"/>
        </w:rPr>
      </w:pPr>
    </w:p>
    <w:p w14:paraId="62F3C1BD" w14:textId="77777777" w:rsidR="00AE77C3" w:rsidRDefault="00DD795A">
      <w:pPr>
        <w:jc w:val="both"/>
        <w:rPr>
          <w:sz w:val="24"/>
          <w:szCs w:val="24"/>
        </w:rPr>
      </w:pPr>
      <w:r>
        <w:rPr>
          <w:sz w:val="24"/>
          <w:szCs w:val="24"/>
        </w:rPr>
        <w:t xml:space="preserve">Both solutions can sit alongside existing holdings, including portfolios with multi-currency assets.  For many HNW families already managing USD exposure, a USD-denominated insurance strategy is an extension </w:t>
      </w:r>
      <w:r>
        <w:rPr>
          <w:sz w:val="24"/>
          <w:szCs w:val="24"/>
        </w:rPr>
        <w:t>of their global wealth framework and not a separate allocation.</w:t>
      </w:r>
    </w:p>
    <w:p w14:paraId="3C5C4E85" w14:textId="77777777" w:rsidR="00AE77C3" w:rsidRDefault="00AE77C3">
      <w:pPr>
        <w:jc w:val="both"/>
        <w:rPr>
          <w:sz w:val="24"/>
          <w:szCs w:val="24"/>
        </w:rPr>
      </w:pPr>
    </w:p>
    <w:p w14:paraId="3C3D1C82" w14:textId="77777777" w:rsidR="00AE77C3" w:rsidRDefault="00DD795A">
      <w:pPr>
        <w:jc w:val="both"/>
        <w:rPr>
          <w:b/>
          <w:bCs/>
          <w:sz w:val="24"/>
          <w:szCs w:val="24"/>
        </w:rPr>
      </w:pPr>
      <w:r>
        <w:rPr>
          <w:b/>
          <w:bCs/>
          <w:sz w:val="24"/>
          <w:szCs w:val="24"/>
        </w:rPr>
        <w:t>Creating liquidity and certainty at the point of transfer</w:t>
      </w:r>
    </w:p>
    <w:p w14:paraId="0F7B790D" w14:textId="77777777" w:rsidR="00AE77C3" w:rsidRDefault="00AE77C3">
      <w:pPr>
        <w:jc w:val="both"/>
        <w:rPr>
          <w:sz w:val="24"/>
          <w:szCs w:val="24"/>
        </w:rPr>
      </w:pPr>
    </w:p>
    <w:p w14:paraId="0EDFA8B0" w14:textId="77777777" w:rsidR="00AE77C3" w:rsidRDefault="00DD795A">
      <w:pPr>
        <w:jc w:val="both"/>
        <w:rPr>
          <w:sz w:val="24"/>
          <w:szCs w:val="24"/>
        </w:rPr>
      </w:pPr>
      <w:r>
        <w:rPr>
          <w:sz w:val="24"/>
          <w:szCs w:val="24"/>
        </w:rPr>
        <w:t>At this stage, life insurance becomes a highly practical solution. Many estates appear sizable,</w:t>
      </w:r>
      <w:r>
        <w:t xml:space="preserve"> y</w:t>
      </w:r>
      <w:r>
        <w:rPr>
          <w:sz w:val="24"/>
          <w:szCs w:val="24"/>
        </w:rPr>
        <w:t xml:space="preserve">et much of the wealth is tied up in illiquid assets such as property, private company shares, long-term investments, collectibles or </w:t>
      </w:r>
      <w:proofErr w:type="spellStart"/>
      <w:r>
        <w:rPr>
          <w:sz w:val="24"/>
          <w:szCs w:val="24"/>
        </w:rPr>
        <w:t>specialised</w:t>
      </w:r>
      <w:proofErr w:type="spellEnd"/>
      <w:r>
        <w:rPr>
          <w:sz w:val="24"/>
          <w:szCs w:val="24"/>
        </w:rPr>
        <w:t xml:space="preserve"> assets. </w:t>
      </w:r>
    </w:p>
    <w:p w14:paraId="35572DEC" w14:textId="77777777" w:rsidR="00AE77C3" w:rsidRDefault="00AE77C3">
      <w:pPr>
        <w:jc w:val="both"/>
        <w:rPr>
          <w:sz w:val="24"/>
          <w:szCs w:val="24"/>
        </w:rPr>
      </w:pPr>
    </w:p>
    <w:p w14:paraId="6C89833C" w14:textId="77777777" w:rsidR="00AE77C3" w:rsidRDefault="00DD795A">
      <w:pPr>
        <w:jc w:val="both"/>
        <w:rPr>
          <w:sz w:val="24"/>
          <w:szCs w:val="24"/>
        </w:rPr>
      </w:pPr>
      <w:r>
        <w:rPr>
          <w:sz w:val="24"/>
          <w:szCs w:val="24"/>
        </w:rPr>
        <w:t>When inheritance happens, heirs may face financial pressure immediately, even if the estate is “wealt</w:t>
      </w:r>
      <w:r>
        <w:rPr>
          <w:sz w:val="24"/>
          <w:szCs w:val="24"/>
        </w:rPr>
        <w:t>hy”.</w:t>
      </w:r>
    </w:p>
    <w:p w14:paraId="727C8017" w14:textId="77777777" w:rsidR="00AE77C3" w:rsidRDefault="00AE77C3">
      <w:pPr>
        <w:jc w:val="both"/>
        <w:rPr>
          <w:sz w:val="24"/>
          <w:szCs w:val="24"/>
        </w:rPr>
      </w:pPr>
    </w:p>
    <w:p w14:paraId="2D4AF6C1" w14:textId="77777777" w:rsidR="00AE77C3" w:rsidRDefault="00DD795A">
      <w:pPr>
        <w:jc w:val="both"/>
        <w:rPr>
          <w:sz w:val="24"/>
          <w:szCs w:val="24"/>
        </w:rPr>
      </w:pPr>
      <w:r>
        <w:rPr>
          <w:sz w:val="24"/>
          <w:szCs w:val="24"/>
        </w:rPr>
        <w:t>Common challenges include:</w:t>
      </w:r>
    </w:p>
    <w:p w14:paraId="2FE92274" w14:textId="77777777" w:rsidR="00AE77C3" w:rsidRDefault="00AE77C3">
      <w:pPr>
        <w:jc w:val="both"/>
        <w:rPr>
          <w:sz w:val="24"/>
          <w:szCs w:val="24"/>
        </w:rPr>
      </w:pPr>
    </w:p>
    <w:p w14:paraId="1DDB9BE7" w14:textId="77777777" w:rsidR="00AE77C3" w:rsidRDefault="00DD795A">
      <w:pPr>
        <w:numPr>
          <w:ilvl w:val="0"/>
          <w:numId w:val="1"/>
        </w:numPr>
        <w:jc w:val="both"/>
        <w:rPr>
          <w:sz w:val="24"/>
          <w:szCs w:val="24"/>
        </w:rPr>
      </w:pPr>
      <w:r>
        <w:rPr>
          <w:sz w:val="24"/>
          <w:szCs w:val="24"/>
        </w:rPr>
        <w:t>needing cash quickly</w:t>
      </w:r>
    </w:p>
    <w:p w14:paraId="0CF8A5A4" w14:textId="77777777" w:rsidR="00AE77C3" w:rsidRDefault="00AE77C3">
      <w:pPr>
        <w:jc w:val="both"/>
        <w:rPr>
          <w:sz w:val="24"/>
          <w:szCs w:val="24"/>
        </w:rPr>
      </w:pPr>
    </w:p>
    <w:p w14:paraId="39F74B50" w14:textId="77777777" w:rsidR="00AE77C3" w:rsidRDefault="00DD795A">
      <w:pPr>
        <w:numPr>
          <w:ilvl w:val="0"/>
          <w:numId w:val="1"/>
        </w:numPr>
        <w:jc w:val="both"/>
        <w:rPr>
          <w:sz w:val="24"/>
          <w:szCs w:val="24"/>
        </w:rPr>
      </w:pPr>
      <w:r>
        <w:rPr>
          <w:sz w:val="24"/>
          <w:szCs w:val="24"/>
        </w:rPr>
        <w:t>waiting for probate or administrative processes</w:t>
      </w:r>
    </w:p>
    <w:p w14:paraId="5F110185" w14:textId="77777777" w:rsidR="00AE77C3" w:rsidRDefault="00AE77C3">
      <w:pPr>
        <w:jc w:val="both"/>
        <w:rPr>
          <w:sz w:val="24"/>
          <w:szCs w:val="24"/>
        </w:rPr>
      </w:pPr>
    </w:p>
    <w:p w14:paraId="2A7433C5" w14:textId="77777777" w:rsidR="00AE77C3" w:rsidRDefault="00DD795A">
      <w:pPr>
        <w:numPr>
          <w:ilvl w:val="0"/>
          <w:numId w:val="1"/>
        </w:numPr>
        <w:jc w:val="both"/>
        <w:rPr>
          <w:sz w:val="24"/>
          <w:szCs w:val="24"/>
        </w:rPr>
      </w:pPr>
      <w:r>
        <w:rPr>
          <w:sz w:val="24"/>
          <w:szCs w:val="24"/>
        </w:rPr>
        <w:t xml:space="preserve">selling assets at an </w:t>
      </w:r>
      <w:proofErr w:type="spellStart"/>
      <w:r>
        <w:rPr>
          <w:sz w:val="24"/>
          <w:szCs w:val="24"/>
        </w:rPr>
        <w:t>unfavourable</w:t>
      </w:r>
      <w:proofErr w:type="spellEnd"/>
      <w:r>
        <w:rPr>
          <w:sz w:val="24"/>
          <w:szCs w:val="24"/>
        </w:rPr>
        <w:t xml:space="preserve"> time</w:t>
      </w:r>
    </w:p>
    <w:p w14:paraId="46F2C7FC" w14:textId="77777777" w:rsidR="00AE77C3" w:rsidRDefault="00AE77C3">
      <w:pPr>
        <w:jc w:val="both"/>
        <w:rPr>
          <w:sz w:val="24"/>
          <w:szCs w:val="24"/>
        </w:rPr>
      </w:pPr>
    </w:p>
    <w:p w14:paraId="6AEEE9F5" w14:textId="77777777" w:rsidR="00AE77C3" w:rsidRDefault="00DD795A">
      <w:pPr>
        <w:numPr>
          <w:ilvl w:val="0"/>
          <w:numId w:val="1"/>
        </w:numPr>
        <w:jc w:val="both"/>
        <w:rPr>
          <w:sz w:val="24"/>
          <w:szCs w:val="24"/>
        </w:rPr>
      </w:pPr>
      <w:r>
        <w:rPr>
          <w:sz w:val="24"/>
          <w:szCs w:val="24"/>
        </w:rPr>
        <w:lastRenderedPageBreak/>
        <w:t>disagreements between beneficiaries on what to sell and when</w:t>
      </w:r>
    </w:p>
    <w:p w14:paraId="6A924CEB" w14:textId="77777777" w:rsidR="00AE77C3" w:rsidRDefault="00AE77C3">
      <w:pPr>
        <w:jc w:val="both"/>
        <w:rPr>
          <w:sz w:val="24"/>
          <w:szCs w:val="24"/>
        </w:rPr>
      </w:pPr>
    </w:p>
    <w:p w14:paraId="099DC963" w14:textId="77777777" w:rsidR="00AE77C3" w:rsidRDefault="00DD795A">
      <w:pPr>
        <w:jc w:val="both"/>
        <w:rPr>
          <w:sz w:val="24"/>
          <w:szCs w:val="24"/>
        </w:rPr>
      </w:pPr>
      <w:r>
        <w:rPr>
          <w:sz w:val="24"/>
          <w:szCs w:val="24"/>
        </w:rPr>
        <w:t xml:space="preserve"> IUL can address these challenges by providing:</w:t>
      </w:r>
    </w:p>
    <w:p w14:paraId="054391AB" w14:textId="77777777" w:rsidR="00AE77C3" w:rsidRDefault="00AE77C3">
      <w:pPr>
        <w:jc w:val="both"/>
        <w:rPr>
          <w:sz w:val="24"/>
          <w:szCs w:val="24"/>
        </w:rPr>
      </w:pPr>
    </w:p>
    <w:p w14:paraId="0C37F12A" w14:textId="77777777" w:rsidR="00AE77C3" w:rsidRDefault="00DD795A">
      <w:pPr>
        <w:numPr>
          <w:ilvl w:val="0"/>
          <w:numId w:val="4"/>
        </w:numPr>
        <w:jc w:val="both"/>
        <w:rPr>
          <w:sz w:val="24"/>
          <w:szCs w:val="24"/>
        </w:rPr>
      </w:pPr>
      <w:r>
        <w:rPr>
          <w:b/>
          <w:bCs/>
          <w:sz w:val="24"/>
          <w:szCs w:val="24"/>
        </w:rPr>
        <w:t>Immediate liquidity for heirs:</w:t>
      </w:r>
      <w:r>
        <w:rPr>
          <w:sz w:val="24"/>
          <w:szCs w:val="24"/>
        </w:rPr>
        <w:t xml:space="preserve"> Funds can be available without requiring the family to liquidate assets urgently.</w:t>
      </w:r>
    </w:p>
    <w:p w14:paraId="592B99E5" w14:textId="77777777" w:rsidR="00AE77C3" w:rsidRDefault="00AE77C3">
      <w:pPr>
        <w:jc w:val="both"/>
        <w:rPr>
          <w:sz w:val="24"/>
          <w:szCs w:val="24"/>
        </w:rPr>
      </w:pPr>
    </w:p>
    <w:p w14:paraId="78BBC486" w14:textId="77777777" w:rsidR="00AE77C3" w:rsidRDefault="00DD795A">
      <w:pPr>
        <w:numPr>
          <w:ilvl w:val="0"/>
          <w:numId w:val="7"/>
        </w:numPr>
        <w:jc w:val="both"/>
        <w:rPr>
          <w:sz w:val="24"/>
          <w:szCs w:val="24"/>
        </w:rPr>
      </w:pPr>
      <w:r>
        <w:rPr>
          <w:b/>
          <w:bCs/>
          <w:sz w:val="24"/>
          <w:szCs w:val="24"/>
        </w:rPr>
        <w:t>Reduced reliance on forced sales:</w:t>
      </w:r>
      <w:r>
        <w:rPr>
          <w:sz w:val="24"/>
          <w:szCs w:val="24"/>
        </w:rPr>
        <w:t xml:space="preserve"> Families don’t need to sell property or divest investments under time pressure.</w:t>
      </w:r>
    </w:p>
    <w:p w14:paraId="566F3CD1" w14:textId="77777777" w:rsidR="00AE77C3" w:rsidRDefault="00AE77C3">
      <w:pPr>
        <w:jc w:val="both"/>
        <w:rPr>
          <w:sz w:val="24"/>
          <w:szCs w:val="24"/>
        </w:rPr>
      </w:pPr>
    </w:p>
    <w:p w14:paraId="047D0CC0" w14:textId="77777777" w:rsidR="00AE77C3" w:rsidRDefault="00DD795A">
      <w:pPr>
        <w:numPr>
          <w:ilvl w:val="0"/>
          <w:numId w:val="2"/>
        </w:numPr>
        <w:jc w:val="both"/>
        <w:rPr>
          <w:sz w:val="24"/>
          <w:szCs w:val="24"/>
        </w:rPr>
      </w:pPr>
      <w:r>
        <w:rPr>
          <w:b/>
          <w:bCs/>
          <w:sz w:val="24"/>
          <w:szCs w:val="24"/>
        </w:rPr>
        <w:t xml:space="preserve">Smoother distribution: </w:t>
      </w:r>
      <w:r>
        <w:rPr>
          <w:sz w:val="24"/>
          <w:szCs w:val="24"/>
        </w:rPr>
        <w:t>Clea</w:t>
      </w:r>
      <w:r>
        <w:rPr>
          <w:sz w:val="24"/>
          <w:szCs w:val="24"/>
        </w:rPr>
        <w:t>r liquidity can reduce stress, delays, and conflict, especially when the estate is complex.</w:t>
      </w:r>
    </w:p>
    <w:p w14:paraId="4C5EC7AA" w14:textId="77777777" w:rsidR="00AE77C3" w:rsidRDefault="00AE77C3">
      <w:pPr>
        <w:jc w:val="both"/>
        <w:rPr>
          <w:sz w:val="24"/>
          <w:szCs w:val="24"/>
        </w:rPr>
      </w:pPr>
    </w:p>
    <w:p w14:paraId="6B1E9B26" w14:textId="77777777" w:rsidR="00AE77C3" w:rsidRDefault="00DD795A">
      <w:pPr>
        <w:jc w:val="both"/>
        <w:rPr>
          <w:sz w:val="24"/>
          <w:szCs w:val="24"/>
        </w:rPr>
      </w:pPr>
      <w:r>
        <w:rPr>
          <w:sz w:val="24"/>
          <w:szCs w:val="24"/>
        </w:rPr>
        <w:t>In many cases, insurance works best alongside wills, trusts, and succession plans, acting as the liquidity engine that helps the entire transfer process work prope</w:t>
      </w:r>
      <w:r>
        <w:rPr>
          <w:sz w:val="24"/>
          <w:szCs w:val="24"/>
        </w:rPr>
        <w:t>rly.</w:t>
      </w:r>
    </w:p>
    <w:p w14:paraId="1032EB35" w14:textId="77777777" w:rsidR="00AE77C3" w:rsidRDefault="00AE77C3">
      <w:pPr>
        <w:jc w:val="both"/>
        <w:rPr>
          <w:sz w:val="24"/>
          <w:szCs w:val="24"/>
        </w:rPr>
      </w:pPr>
    </w:p>
    <w:p w14:paraId="0C760109" w14:textId="77777777" w:rsidR="00AE77C3" w:rsidRDefault="00DD795A">
      <w:pPr>
        <w:jc w:val="both"/>
        <w:rPr>
          <w:b/>
          <w:bCs/>
          <w:sz w:val="24"/>
          <w:szCs w:val="24"/>
        </w:rPr>
      </w:pPr>
      <w:r>
        <w:rPr>
          <w:b/>
          <w:bCs/>
          <w:sz w:val="24"/>
          <w:szCs w:val="24"/>
        </w:rPr>
        <w:t>Structuring a legacy plan thoughtfully</w:t>
      </w:r>
    </w:p>
    <w:p w14:paraId="26127343" w14:textId="77777777" w:rsidR="00AE77C3" w:rsidRDefault="00AE77C3">
      <w:pPr>
        <w:jc w:val="both"/>
        <w:rPr>
          <w:sz w:val="24"/>
          <w:szCs w:val="24"/>
        </w:rPr>
      </w:pPr>
    </w:p>
    <w:p w14:paraId="2CDCA5A3" w14:textId="77777777" w:rsidR="00AE77C3" w:rsidRDefault="00DD795A">
      <w:pPr>
        <w:jc w:val="both"/>
        <w:rPr>
          <w:sz w:val="24"/>
          <w:szCs w:val="24"/>
        </w:rPr>
      </w:pPr>
      <w:r>
        <w:rPr>
          <w:sz w:val="24"/>
          <w:szCs w:val="24"/>
        </w:rPr>
        <w:t>A strong legacy plan doesn’t start with product selection. It starts with intent. Most families fall into one of these categories:</w:t>
      </w:r>
    </w:p>
    <w:p w14:paraId="27CB1EF4" w14:textId="77777777" w:rsidR="00AE77C3" w:rsidRDefault="00AE77C3">
      <w:pPr>
        <w:jc w:val="both"/>
        <w:rPr>
          <w:sz w:val="24"/>
          <w:szCs w:val="24"/>
        </w:rPr>
      </w:pPr>
    </w:p>
    <w:p w14:paraId="366F4E15" w14:textId="77777777" w:rsidR="00AE77C3" w:rsidRDefault="00DD795A">
      <w:pPr>
        <w:numPr>
          <w:ilvl w:val="0"/>
          <w:numId w:val="9"/>
        </w:numPr>
        <w:jc w:val="both"/>
        <w:rPr>
          <w:sz w:val="24"/>
          <w:szCs w:val="24"/>
        </w:rPr>
      </w:pPr>
      <w:r>
        <w:rPr>
          <w:b/>
          <w:bCs/>
          <w:sz w:val="24"/>
          <w:szCs w:val="24"/>
        </w:rPr>
        <w:t xml:space="preserve">Growth-led: </w:t>
      </w:r>
      <w:proofErr w:type="spellStart"/>
      <w:r>
        <w:rPr>
          <w:sz w:val="24"/>
          <w:szCs w:val="24"/>
        </w:rPr>
        <w:t>Prioritising</w:t>
      </w:r>
      <w:proofErr w:type="spellEnd"/>
      <w:r>
        <w:rPr>
          <w:sz w:val="24"/>
          <w:szCs w:val="24"/>
        </w:rPr>
        <w:t xml:space="preserve"> accumulation now, while keeping future transfer in view.</w:t>
      </w:r>
    </w:p>
    <w:p w14:paraId="6713547E" w14:textId="77777777" w:rsidR="00AE77C3" w:rsidRDefault="00AE77C3">
      <w:pPr>
        <w:jc w:val="both"/>
        <w:rPr>
          <w:sz w:val="24"/>
          <w:szCs w:val="24"/>
        </w:rPr>
      </w:pPr>
    </w:p>
    <w:p w14:paraId="6B9D4FF2" w14:textId="77777777" w:rsidR="00AE77C3" w:rsidRDefault="00DD795A">
      <w:pPr>
        <w:numPr>
          <w:ilvl w:val="0"/>
          <w:numId w:val="9"/>
        </w:numPr>
        <w:jc w:val="both"/>
        <w:rPr>
          <w:sz w:val="24"/>
          <w:szCs w:val="24"/>
        </w:rPr>
      </w:pPr>
      <w:r>
        <w:rPr>
          <w:b/>
          <w:bCs/>
          <w:sz w:val="24"/>
          <w:szCs w:val="24"/>
        </w:rPr>
        <w:t>Transfer-driven:</w:t>
      </w:r>
      <w:r>
        <w:rPr>
          <w:sz w:val="24"/>
          <w:szCs w:val="24"/>
        </w:rPr>
        <w:t xml:space="preserve"> </w:t>
      </w:r>
      <w:proofErr w:type="spellStart"/>
      <w:r>
        <w:rPr>
          <w:sz w:val="24"/>
          <w:szCs w:val="24"/>
        </w:rPr>
        <w:t>Prioritising</w:t>
      </w:r>
      <w:proofErr w:type="spellEnd"/>
      <w:r>
        <w:rPr>
          <w:sz w:val="24"/>
          <w:szCs w:val="24"/>
        </w:rPr>
        <w:t xml:space="preserve"> certainty, liquidity, and structured distribution.</w:t>
      </w:r>
    </w:p>
    <w:p w14:paraId="0D10DF84" w14:textId="77777777" w:rsidR="00AE77C3" w:rsidRDefault="00AE77C3">
      <w:pPr>
        <w:jc w:val="both"/>
        <w:rPr>
          <w:sz w:val="24"/>
          <w:szCs w:val="24"/>
        </w:rPr>
      </w:pPr>
    </w:p>
    <w:p w14:paraId="5B5B944E" w14:textId="77777777" w:rsidR="00AE77C3" w:rsidRDefault="00DD795A">
      <w:pPr>
        <w:numPr>
          <w:ilvl w:val="0"/>
          <w:numId w:val="9"/>
        </w:numPr>
        <w:jc w:val="both"/>
        <w:rPr>
          <w:sz w:val="24"/>
          <w:szCs w:val="24"/>
        </w:rPr>
      </w:pPr>
      <w:r>
        <w:rPr>
          <w:b/>
          <w:bCs/>
          <w:sz w:val="24"/>
          <w:szCs w:val="24"/>
        </w:rPr>
        <w:t>Balanced:</w:t>
      </w:r>
      <w:r>
        <w:rPr>
          <w:sz w:val="24"/>
          <w:szCs w:val="24"/>
        </w:rPr>
        <w:t xml:space="preserve"> Growing wealth while also building inheritance clarity.</w:t>
      </w:r>
    </w:p>
    <w:p w14:paraId="63556DDE" w14:textId="77777777" w:rsidR="00AE77C3" w:rsidRDefault="00AE77C3">
      <w:pPr>
        <w:jc w:val="both"/>
        <w:rPr>
          <w:sz w:val="24"/>
          <w:szCs w:val="24"/>
        </w:rPr>
      </w:pPr>
    </w:p>
    <w:p w14:paraId="5F64CF50" w14:textId="77777777" w:rsidR="00AE77C3" w:rsidRDefault="00DD795A">
      <w:pPr>
        <w:jc w:val="both"/>
        <w:rPr>
          <w:sz w:val="24"/>
          <w:szCs w:val="24"/>
        </w:rPr>
      </w:pPr>
      <w:r>
        <w:rPr>
          <w:sz w:val="24"/>
          <w:szCs w:val="24"/>
        </w:rPr>
        <w:t xml:space="preserve">From there, legacy planning becomes </w:t>
      </w:r>
      <w:r>
        <w:rPr>
          <w:sz w:val="24"/>
          <w:szCs w:val="24"/>
        </w:rPr>
        <w:t>a matter of alignment – defining the family’s goals and values, addressing business interests and trust structures, and accounting for the differing needs, roles, and readiness of each heir. For many affluent families, wealth transfer involves both technic</w:t>
      </w:r>
      <w:r>
        <w:rPr>
          <w:sz w:val="24"/>
          <w:szCs w:val="24"/>
        </w:rPr>
        <w:t xml:space="preserve">al and emotional considerations. Clarity helps reduce conflict, and planning </w:t>
      </w:r>
      <w:proofErr w:type="spellStart"/>
      <w:r>
        <w:rPr>
          <w:sz w:val="24"/>
          <w:szCs w:val="24"/>
        </w:rPr>
        <w:t>minimises</w:t>
      </w:r>
      <w:proofErr w:type="spellEnd"/>
      <w:r>
        <w:rPr>
          <w:sz w:val="24"/>
          <w:szCs w:val="24"/>
        </w:rPr>
        <w:t xml:space="preserve"> resentment. Given the complexity and long-term nature of these decisions, they should be made with professional guidance.</w:t>
      </w:r>
    </w:p>
    <w:p w14:paraId="39721EF5" w14:textId="77777777" w:rsidR="00AE77C3" w:rsidRDefault="00AE77C3">
      <w:pPr>
        <w:jc w:val="both"/>
        <w:rPr>
          <w:sz w:val="24"/>
          <w:szCs w:val="24"/>
        </w:rPr>
      </w:pPr>
    </w:p>
    <w:p w14:paraId="6A1A703F" w14:textId="77777777" w:rsidR="00AE77C3" w:rsidRDefault="00DD795A">
      <w:pPr>
        <w:jc w:val="both"/>
        <w:rPr>
          <w:b/>
          <w:bCs/>
          <w:sz w:val="24"/>
          <w:szCs w:val="24"/>
        </w:rPr>
      </w:pPr>
      <w:r>
        <w:rPr>
          <w:b/>
          <w:bCs/>
          <w:sz w:val="24"/>
          <w:szCs w:val="24"/>
        </w:rPr>
        <w:t>Conclusion</w:t>
      </w:r>
    </w:p>
    <w:p w14:paraId="13511986" w14:textId="77777777" w:rsidR="00AE77C3" w:rsidRDefault="00AE77C3">
      <w:pPr>
        <w:jc w:val="both"/>
        <w:rPr>
          <w:sz w:val="24"/>
          <w:szCs w:val="24"/>
        </w:rPr>
      </w:pPr>
    </w:p>
    <w:p w14:paraId="294CEE17" w14:textId="77777777" w:rsidR="00AE77C3" w:rsidRDefault="00DD795A">
      <w:pPr>
        <w:jc w:val="both"/>
        <w:rPr>
          <w:sz w:val="24"/>
          <w:szCs w:val="24"/>
        </w:rPr>
      </w:pPr>
      <w:r>
        <w:rPr>
          <w:sz w:val="24"/>
          <w:szCs w:val="24"/>
        </w:rPr>
        <w:t>Passing on wealth isn’t simply abo</w:t>
      </w:r>
      <w:r>
        <w:rPr>
          <w:sz w:val="24"/>
          <w:szCs w:val="24"/>
        </w:rPr>
        <w:t>ut leaving assets behind, but about creating a clear and well-structured plan. Without it, even the largest estates can become complicated and stressful for your loved ones.</w:t>
      </w:r>
    </w:p>
    <w:p w14:paraId="0756BBFB" w14:textId="77777777" w:rsidR="00AE77C3" w:rsidRDefault="00AE77C3">
      <w:pPr>
        <w:jc w:val="both"/>
        <w:rPr>
          <w:sz w:val="24"/>
          <w:szCs w:val="24"/>
        </w:rPr>
      </w:pPr>
    </w:p>
    <w:p w14:paraId="25763492" w14:textId="77777777" w:rsidR="00AE77C3" w:rsidRDefault="00DD795A">
      <w:pPr>
        <w:jc w:val="both"/>
        <w:rPr>
          <w:sz w:val="24"/>
          <w:szCs w:val="24"/>
        </w:rPr>
      </w:pPr>
      <w:r>
        <w:rPr>
          <w:sz w:val="24"/>
          <w:szCs w:val="24"/>
        </w:rPr>
        <w:lastRenderedPageBreak/>
        <w:t xml:space="preserve">If you’re thinking about how to grow, protect, and pass on your wealth in a fair </w:t>
      </w:r>
      <w:r>
        <w:rPr>
          <w:sz w:val="24"/>
          <w:szCs w:val="24"/>
        </w:rPr>
        <w:t>and orderly way, speak to your preferred financial adviser representative to explore the right legacy strategy for your family.</w:t>
      </w:r>
    </w:p>
    <w:p w14:paraId="42CB9B35" w14:textId="77777777" w:rsidR="00AE77C3" w:rsidRDefault="00AE77C3">
      <w:pPr>
        <w:jc w:val="both"/>
        <w:rPr>
          <w:sz w:val="24"/>
          <w:szCs w:val="24"/>
        </w:rPr>
      </w:pPr>
    </w:p>
    <w:sectPr w:rsidR="00AE77C3">
      <w:headerReference w:type="even" r:id="rId12"/>
      <w:headerReference w:type="default" r:id="rId13"/>
      <w:headerReference w:type="first" r:id="rId14"/>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 w:date="2026-02-24T10:53:00Z" w:initials="">
    <w:p w14:paraId="6C204867" w14:textId="3835F21F" w:rsidR="00C70B33" w:rsidRDefault="00C70B33">
      <w:pPr>
        <w:pStyle w:val="CommentText"/>
      </w:pPr>
      <w:r>
        <w:rPr>
          <w:rStyle w:val="CommentReference"/>
        </w:rPr>
        <w:annotationRef/>
      </w:r>
      <w:r>
        <w:t>Add in title tag: “</w:t>
      </w:r>
      <w:r w:rsidRPr="00C70B33">
        <w:t>How Mass Affluent Singaporeans Can Avoid Wealth Setbacks</w:t>
      </w:r>
      <w:r>
        <w:t>”</w:t>
      </w:r>
    </w:p>
  </w:comment>
  <w:comment w:id="1" w:author="" w:date="2026-02-24T10:56:00Z" w:initials="">
    <w:p w14:paraId="40C25945" w14:textId="253880C5" w:rsidR="00C70B33" w:rsidRDefault="00C70B33">
      <w:pPr>
        <w:pStyle w:val="CommentText"/>
      </w:pPr>
      <w:r>
        <w:rPr>
          <w:rStyle w:val="CommentReference"/>
        </w:rPr>
        <w:annotationRef/>
      </w:r>
      <w:r>
        <w:t xml:space="preserve">Add in </w:t>
      </w:r>
      <w:proofErr w:type="spellStart"/>
      <w:r>
        <w:t>ttile</w:t>
      </w:r>
      <w:proofErr w:type="spellEnd"/>
      <w:r>
        <w:t xml:space="preserve"> tag: “Life Insurance Plans, </w:t>
      </w:r>
      <w:r>
        <w:t>Life Insurance Plans</w:t>
      </w:r>
      <w:r>
        <w:t xml:space="preserve"> Singapore”</w:t>
      </w:r>
      <w:bookmarkStart w:id="2" w:name="_GoBack"/>
      <w:bookmarkEnd w:id="2"/>
    </w:p>
  </w:comment>
  <w:comment w:id="3" w:author="" w:date="2026-02-24T10:54:00Z" w:initials="">
    <w:p w14:paraId="0DE05565" w14:textId="76B6F89A" w:rsidR="00C70B33" w:rsidRDefault="00C70B33">
      <w:pPr>
        <w:pStyle w:val="CommentText"/>
      </w:pPr>
      <w:r>
        <w:rPr>
          <w:rStyle w:val="CommentReference"/>
        </w:rPr>
        <w:annotationRef/>
      </w:r>
      <w:r>
        <w:t>Add in title tag: “</w:t>
      </w:r>
      <w:r w:rsidRPr="00C70B33">
        <w:t>Infinite Indexed Legacy USD</w:t>
      </w:r>
      <w:r>
        <w:t>”</w:t>
      </w:r>
    </w:p>
  </w:comment>
  <w:comment w:id="4" w:author="" w:date="2026-02-24T10:54:00Z" w:initials="">
    <w:p w14:paraId="6F040403" w14:textId="3AF08BF5" w:rsidR="00C70B33" w:rsidRDefault="00C70B33">
      <w:pPr>
        <w:pStyle w:val="CommentText"/>
      </w:pPr>
      <w:r>
        <w:rPr>
          <w:rStyle w:val="CommentReference"/>
        </w:rPr>
        <w:annotationRef/>
      </w:r>
      <w:r>
        <w:t>Add in title tag: “</w:t>
      </w:r>
      <w:r w:rsidRPr="00C70B33">
        <w:t>Infinite Indexed Wealth USD</w:t>
      </w:r>
      <w:r>
        <w: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C204867" w15:done="0"/>
  <w15:commentEx w15:paraId="40C25945" w15:done="0"/>
  <w15:commentEx w15:paraId="0DE05565" w15:done="0"/>
  <w15:commentEx w15:paraId="6F04040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C204867" w16cid:durableId="2D4801AF"/>
  <w16cid:commentId w16cid:paraId="40C25945" w16cid:durableId="2D480270"/>
  <w16cid:commentId w16cid:paraId="0DE05565" w16cid:durableId="2D4801CE"/>
  <w16cid:commentId w16cid:paraId="6F040403" w16cid:durableId="2D4801D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15EE55" w14:textId="77777777" w:rsidR="00DD795A" w:rsidRDefault="00DD795A">
      <w:pPr>
        <w:spacing w:line="240" w:lineRule="auto"/>
      </w:pPr>
      <w:r>
        <w:separator/>
      </w:r>
    </w:p>
  </w:endnote>
  <w:endnote w:type="continuationSeparator" w:id="0">
    <w:p w14:paraId="2C9A4109" w14:textId="77777777" w:rsidR="00DD795A" w:rsidRDefault="00DD79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altName w:val="Calibri"/>
    <w:panose1 w:val="020B0604020202020204"/>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537C35" w14:textId="77777777" w:rsidR="00DD795A" w:rsidRDefault="00DD795A">
      <w:pPr>
        <w:spacing w:line="240" w:lineRule="auto"/>
      </w:pPr>
      <w:r>
        <w:separator/>
      </w:r>
    </w:p>
  </w:footnote>
  <w:footnote w:type="continuationSeparator" w:id="0">
    <w:p w14:paraId="43595D0B" w14:textId="77777777" w:rsidR="00DD795A" w:rsidRDefault="00DD795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7F209E" w14:textId="77777777" w:rsidR="00AE77C3" w:rsidRDefault="00DD795A">
    <w:pPr>
      <w:pBdr>
        <w:top w:val="nil"/>
        <w:left w:val="nil"/>
        <w:bottom w:val="nil"/>
        <w:right w:val="nil"/>
        <w:between w:val="nil"/>
      </w:pBdr>
      <w:tabs>
        <w:tab w:val="center" w:pos="4513"/>
        <w:tab w:val="right" w:pos="9026"/>
      </w:tabs>
      <w:spacing w:line="240" w:lineRule="auto"/>
      <w:rPr>
        <w:color w:val="000000"/>
      </w:rPr>
    </w:pPr>
    <w:r>
      <w:rPr>
        <w:noProof/>
        <w:color w:val="000000"/>
      </w:rPr>
      <mc:AlternateContent>
        <mc:Choice Requires="wps">
          <w:drawing>
            <wp:anchor distT="0" distB="0" distL="0" distR="0" simplePos="0" relativeHeight="251660288" behindDoc="0" locked="0" layoutInCell="1" hidden="0" allowOverlap="1" wp14:anchorId="6B53185A" wp14:editId="6DDA1EDE">
              <wp:simplePos x="0" y="0"/>
              <wp:positionH relativeFrom="page">
                <wp:align>left</wp:align>
              </wp:positionH>
              <wp:positionV relativeFrom="page">
                <wp:align>top</wp:align>
              </wp:positionV>
              <wp:extent cx="871855" cy="423545"/>
              <wp:effectExtent l="0" t="0" r="0" b="0"/>
              <wp:wrapNone/>
              <wp:docPr id="1458540116" name="Rectangle 1458540116" descr="[Internal]"/>
              <wp:cNvGraphicFramePr/>
              <a:graphic xmlns:a="http://schemas.openxmlformats.org/drawingml/2006/main">
                <a:graphicData uri="http://schemas.microsoft.com/office/word/2010/wordprocessingShape">
                  <wps:wsp>
                    <wps:cNvSpPr/>
                    <wps:spPr>
                      <a:xfrm>
                        <a:off x="4919598" y="3577753"/>
                        <a:ext cx="852805" cy="404495"/>
                      </a:xfrm>
                      <a:prstGeom prst="rect">
                        <a:avLst/>
                      </a:prstGeom>
                      <a:noFill/>
                      <a:ln>
                        <a:noFill/>
                      </a:ln>
                    </wps:spPr>
                    <wps:txbx>
                      <w:txbxContent>
                        <w:p w14:paraId="45154F4D" w14:textId="77777777" w:rsidR="00AE77C3" w:rsidRDefault="00DD795A">
                          <w:pPr>
                            <w:spacing w:line="275" w:lineRule="auto"/>
                            <w:textDirection w:val="btLr"/>
                          </w:pPr>
                          <w:r>
                            <w:rPr>
                              <w:rFonts w:ascii="Aptos" w:eastAsia="Aptos" w:hAnsi="Aptos" w:cs="Aptos"/>
                              <w:color w:val="0078D7"/>
                              <w:sz w:val="24"/>
                            </w:rPr>
                            <w:t>[Internal]</w:t>
                          </w:r>
                        </w:p>
                      </w:txbxContent>
                    </wps:txbx>
                    <wps:bodyPr spcFirstLastPara="1" wrap="square" lIns="254000" tIns="190500" rIns="0" bIns="0" anchor="t" anchorCtr="0">
                      <a:noAutofit/>
                    </wps:bodyPr>
                  </wps:wsp>
                </a:graphicData>
              </a:graphic>
            </wp:anchor>
          </w:drawing>
        </mc:Choice>
        <mc:Fallback>
          <w:pict>
            <v:rect w14:anchorId="6B53185A" id="Rectangle 1458540116" o:spid="_x0000_s1026" alt="[Internal]" style="position:absolute;margin-left:0;margin-top:0;width:68.65pt;height:33.35pt;z-index:251660288;visibility:visible;mso-wrap-style:squar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" filled="f" stroked="f">
              <v:textbox inset="20pt,15pt,0,0">
                <w:txbxContent>
                  <w:p w14:paraId="45154F4D" w14:textId="77777777" w:rsidR="00AE77C3" w:rsidRDefault="00DD795A">
                    <w:pPr>
                      <w:spacing w:line="275" w:lineRule="auto"/>
                      <w:textDirection w:val="btLr"/>
                    </w:pPr>
                    <w:r>
                      <w:rPr>
                        <w:rFonts w:ascii="Aptos" w:eastAsia="Aptos" w:hAnsi="Aptos" w:cs="Aptos"/>
                        <w:color w:val="0078D7"/>
                        <w:sz w:val="24"/>
                      </w:rPr>
                      <w:t>[Internal]</w:t>
                    </w: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51124B" w14:textId="77777777" w:rsidR="00AE77C3" w:rsidRDefault="00DD795A">
    <w:pPr>
      <w:pBdr>
        <w:top w:val="nil"/>
        <w:left w:val="nil"/>
        <w:bottom w:val="nil"/>
        <w:right w:val="nil"/>
        <w:between w:val="nil"/>
      </w:pBdr>
      <w:tabs>
        <w:tab w:val="center" w:pos="4513"/>
        <w:tab w:val="right" w:pos="9026"/>
      </w:tabs>
      <w:spacing w:line="240" w:lineRule="auto"/>
      <w:rPr>
        <w:color w:val="000000"/>
      </w:rPr>
    </w:pPr>
    <w:r>
      <w:rPr>
        <w:noProof/>
        <w:color w:val="000000"/>
      </w:rPr>
      <mc:AlternateContent>
        <mc:Choice Requires="wps">
          <w:drawing>
            <wp:anchor distT="0" distB="0" distL="0" distR="0" simplePos="0" relativeHeight="251658240" behindDoc="0" locked="0" layoutInCell="1" hidden="0" allowOverlap="1" wp14:anchorId="63DF1352" wp14:editId="7FF5278C">
              <wp:simplePos x="0" y="0"/>
              <wp:positionH relativeFrom="page">
                <wp:align>left</wp:align>
              </wp:positionH>
              <wp:positionV relativeFrom="page">
                <wp:align>top</wp:align>
              </wp:positionV>
              <wp:extent cx="871855" cy="423545"/>
              <wp:effectExtent l="0" t="0" r="0" b="0"/>
              <wp:wrapNone/>
              <wp:docPr id="1458540115" name="Rectangle 1458540115" descr="[Internal]"/>
              <wp:cNvGraphicFramePr/>
              <a:graphic xmlns:a="http://schemas.openxmlformats.org/drawingml/2006/main">
                <a:graphicData uri="http://schemas.microsoft.com/office/word/2010/wordprocessingShape">
                  <wps:wsp>
                    <wps:cNvSpPr/>
                    <wps:spPr>
                      <a:xfrm>
                        <a:off x="4919598" y="3577753"/>
                        <a:ext cx="852805" cy="404495"/>
                      </a:xfrm>
                      <a:prstGeom prst="rect">
                        <a:avLst/>
                      </a:prstGeom>
                      <a:noFill/>
                      <a:ln>
                        <a:noFill/>
                      </a:ln>
                    </wps:spPr>
                    <wps:txbx>
                      <w:txbxContent>
                        <w:p w14:paraId="0E082717" w14:textId="77777777" w:rsidR="00AE77C3" w:rsidRDefault="00DD795A">
                          <w:pPr>
                            <w:spacing w:line="275" w:lineRule="auto"/>
                            <w:textDirection w:val="btLr"/>
                          </w:pPr>
                          <w:r>
                            <w:rPr>
                              <w:rFonts w:ascii="Aptos" w:eastAsia="Aptos" w:hAnsi="Aptos" w:cs="Aptos"/>
                              <w:color w:val="0078D7"/>
                              <w:sz w:val="24"/>
                            </w:rPr>
                            <w:t>[Internal]</w:t>
                          </w:r>
                        </w:p>
                      </w:txbxContent>
                    </wps:txbx>
                    <wps:bodyPr spcFirstLastPara="1" wrap="square" lIns="254000" tIns="190500" rIns="0" bIns="0" anchor="t" anchorCtr="0">
                      <a:noAutofit/>
                    </wps:bodyPr>
                  </wps:wsp>
                </a:graphicData>
              </a:graphic>
            </wp:anchor>
          </w:drawing>
        </mc:Choice>
        <mc:Fallback>
          <w:pict>
            <v:rect w14:anchorId="63DF1352" id="Rectangle 1458540115" o:spid="_x0000_s1027" alt="[Internal]" style="position:absolute;margin-left:0;margin-top:0;width:68.65pt;height:33.35pt;z-index:251658240;visibility:visible;mso-wrap-style:squar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" filled="f" stroked="f">
              <v:textbox inset="20pt,15pt,0,0">
                <w:txbxContent>
                  <w:p w14:paraId="0E082717" w14:textId="77777777" w:rsidR="00AE77C3" w:rsidRDefault="00DD795A">
                    <w:pPr>
                      <w:spacing w:line="275" w:lineRule="auto"/>
                      <w:textDirection w:val="btLr"/>
                    </w:pPr>
                    <w:r>
                      <w:rPr>
                        <w:rFonts w:ascii="Aptos" w:eastAsia="Aptos" w:hAnsi="Aptos" w:cs="Aptos"/>
                        <w:color w:val="0078D7"/>
                        <w:sz w:val="24"/>
                      </w:rPr>
                      <w:t>[Internal]</w:t>
                    </w:r>
                  </w:p>
                </w:txbxContent>
              </v:textbox>
              <w10:wrap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3D5C6B" w14:textId="77777777" w:rsidR="00AE77C3" w:rsidRDefault="00DD795A">
    <w:pPr>
      <w:pBdr>
        <w:top w:val="nil"/>
        <w:left w:val="nil"/>
        <w:bottom w:val="nil"/>
        <w:right w:val="nil"/>
        <w:between w:val="nil"/>
      </w:pBdr>
      <w:tabs>
        <w:tab w:val="center" w:pos="4513"/>
        <w:tab w:val="right" w:pos="9026"/>
      </w:tabs>
      <w:spacing w:line="240" w:lineRule="auto"/>
      <w:rPr>
        <w:color w:val="000000"/>
      </w:rPr>
    </w:pPr>
    <w:r>
      <w:rPr>
        <w:noProof/>
        <w:color w:val="000000"/>
      </w:rPr>
      <mc:AlternateContent>
        <mc:Choice Requires="wps">
          <w:drawing>
            <wp:anchor distT="0" distB="0" distL="0" distR="0" simplePos="0" relativeHeight="251659264" behindDoc="0" locked="0" layoutInCell="1" hidden="0" allowOverlap="1" wp14:anchorId="7AFB223D" wp14:editId="0F5D6C15">
              <wp:simplePos x="0" y="0"/>
              <wp:positionH relativeFrom="page">
                <wp:align>left</wp:align>
              </wp:positionH>
              <wp:positionV relativeFrom="page">
                <wp:align>top</wp:align>
              </wp:positionV>
              <wp:extent cx="871855" cy="423545"/>
              <wp:effectExtent l="0" t="0" r="0" b="0"/>
              <wp:wrapNone/>
              <wp:docPr id="1458540114" name="Rectangle 1458540114" descr="[Internal]"/>
              <wp:cNvGraphicFramePr/>
              <a:graphic xmlns:a="http://schemas.openxmlformats.org/drawingml/2006/main">
                <a:graphicData uri="http://schemas.microsoft.com/office/word/2010/wordprocessingShape">
                  <wps:wsp>
                    <wps:cNvSpPr/>
                    <wps:spPr>
                      <a:xfrm>
                        <a:off x="4919598" y="3577753"/>
                        <a:ext cx="852805" cy="404495"/>
                      </a:xfrm>
                      <a:prstGeom prst="rect">
                        <a:avLst/>
                      </a:prstGeom>
                      <a:noFill/>
                      <a:ln>
                        <a:noFill/>
                      </a:ln>
                    </wps:spPr>
                    <wps:txbx>
                      <w:txbxContent>
                        <w:p w14:paraId="79EA53D4" w14:textId="77777777" w:rsidR="00AE77C3" w:rsidRDefault="00DD795A">
                          <w:pPr>
                            <w:spacing w:line="275" w:lineRule="auto"/>
                            <w:textDirection w:val="btLr"/>
                          </w:pPr>
                          <w:r>
                            <w:rPr>
                              <w:rFonts w:ascii="Aptos" w:eastAsia="Aptos" w:hAnsi="Aptos" w:cs="Aptos"/>
                              <w:color w:val="0078D7"/>
                              <w:sz w:val="24"/>
                            </w:rPr>
                            <w:t>[Internal]</w:t>
                          </w:r>
                        </w:p>
                      </w:txbxContent>
                    </wps:txbx>
                    <wps:bodyPr spcFirstLastPara="1" wrap="square" lIns="254000" tIns="190500" rIns="0" bIns="0" anchor="t" anchorCtr="0">
                      <a:noAutofit/>
                    </wps:bodyPr>
                  </wps:wsp>
                </a:graphicData>
              </a:graphic>
            </wp:anchor>
          </w:drawing>
        </mc:Choice>
        <mc:Fallback>
          <w:pict>
            <v:rect w14:anchorId="7AFB223D" id="Rectangle 1458540114" o:spid="_x0000_s1028" alt="[Internal]" style="position:absolute;margin-left:0;margin-top:0;width:68.65pt;height:33.35pt;z-index:251659264;visibility:visible;mso-wrap-style:squar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" filled="f" stroked="f">
              <v:textbox inset="20pt,15pt,0,0">
                <w:txbxContent>
                  <w:p w14:paraId="79EA53D4" w14:textId="77777777" w:rsidR="00AE77C3" w:rsidRDefault="00DD795A">
                    <w:pPr>
                      <w:spacing w:line="275" w:lineRule="auto"/>
                      <w:textDirection w:val="btLr"/>
                    </w:pPr>
                    <w:r>
                      <w:rPr>
                        <w:rFonts w:ascii="Aptos" w:eastAsia="Aptos" w:hAnsi="Aptos" w:cs="Aptos"/>
                        <w:color w:val="0078D7"/>
                        <w:sz w:val="24"/>
                      </w:rPr>
                      <w:t>[Internal]</w:t>
                    </w:r>
                  </w:p>
                </w:txbxContent>
              </v:textbox>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04633"/>
    <w:multiLevelType w:val="multilevel"/>
    <w:tmpl w:val="AE185A34"/>
    <w:lvl w:ilvl="0">
      <w:start w:val="1"/>
      <w:numFmt w:val="decimal"/>
      <w:lvlText w:val="%1."/>
      <w:lvlJc w:val="left"/>
      <w:pPr>
        <w:ind w:left="720" w:hanging="360"/>
      </w:pPr>
      <w:rPr>
        <w:rFonts w:ascii="Arial" w:eastAsia="Arial" w:hAnsi="Arial" w:cs="Arial"/>
        <w:b/>
        <w:bC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F49212D"/>
    <w:multiLevelType w:val="multilevel"/>
    <w:tmpl w:val="D730FA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1E41187"/>
    <w:multiLevelType w:val="multilevel"/>
    <w:tmpl w:val="13B681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7FB0F90"/>
    <w:multiLevelType w:val="multilevel"/>
    <w:tmpl w:val="84FE66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D5349FB"/>
    <w:multiLevelType w:val="multilevel"/>
    <w:tmpl w:val="C05C31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C69616E"/>
    <w:multiLevelType w:val="multilevel"/>
    <w:tmpl w:val="0BE82C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4920A7A"/>
    <w:multiLevelType w:val="multilevel"/>
    <w:tmpl w:val="42AABF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1BA43DD"/>
    <w:multiLevelType w:val="multilevel"/>
    <w:tmpl w:val="93CEBD0A"/>
    <w:lvl w:ilvl="0">
      <w:start w:val="1"/>
      <w:numFmt w:val="decimal"/>
      <w:lvlText w:val="%1."/>
      <w:lvlJc w:val="left"/>
      <w:pPr>
        <w:ind w:left="720" w:hanging="360"/>
      </w:pPr>
      <w:rPr>
        <w:rFonts w:ascii="Arial" w:eastAsia="Arial" w:hAnsi="Arial" w:cs="Arial"/>
        <w:b/>
        <w:bC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7B246397"/>
    <w:multiLevelType w:val="multilevel"/>
    <w:tmpl w:val="B456D2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BB402C6"/>
    <w:multiLevelType w:val="multilevel"/>
    <w:tmpl w:val="29146A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C0C1FBC"/>
    <w:multiLevelType w:val="multilevel"/>
    <w:tmpl w:val="2CDE99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6"/>
  </w:num>
  <w:num w:numId="2">
    <w:abstractNumId w:val="4"/>
  </w:num>
  <w:num w:numId="3">
    <w:abstractNumId w:val="8"/>
  </w:num>
  <w:num w:numId="4">
    <w:abstractNumId w:val="9"/>
  </w:num>
  <w:num w:numId="5">
    <w:abstractNumId w:val="5"/>
  </w:num>
  <w:num w:numId="6">
    <w:abstractNumId w:val="3"/>
  </w:num>
  <w:num w:numId="7">
    <w:abstractNumId w:val="1"/>
  </w:num>
  <w:num w:numId="8">
    <w:abstractNumId w:val="2"/>
  </w:num>
  <w:num w:numId="9">
    <w:abstractNumId w:val="0"/>
  </w:num>
  <w:num w:numId="10">
    <w:abstractNumId w:val="1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77C3"/>
    <w:rsid w:val="00944E4A"/>
    <w:rsid w:val="00AE77C3"/>
    <w:rsid w:val="00C70B33"/>
    <w:rsid w:val="00DD795A"/>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56941E3"/>
  <w15:docId w15:val="{DA323A87-4E01-E544-84A4-996F897F8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paragraph" w:styleId="Revision">
    <w:name w:val="Revision"/>
    <w:hidden/>
    <w:uiPriority w:val="99"/>
    <w:semiHidden/>
    <w:rsid w:val="008276E0"/>
    <w:pPr>
      <w:spacing w:line="240" w:lineRule="auto"/>
    </w:pPr>
  </w:style>
  <w:style w:type="paragraph" w:styleId="Header">
    <w:name w:val="header"/>
    <w:basedOn w:val="Normal"/>
    <w:link w:val="HeaderChar"/>
    <w:uiPriority w:val="99"/>
    <w:unhideWhenUsed/>
    <w:rsid w:val="007362DE"/>
    <w:pPr>
      <w:tabs>
        <w:tab w:val="center" w:pos="4513"/>
        <w:tab w:val="right" w:pos="9026"/>
      </w:tabs>
      <w:spacing w:line="240" w:lineRule="auto"/>
    </w:pPr>
  </w:style>
  <w:style w:type="character" w:customStyle="1" w:styleId="HeaderChar">
    <w:name w:val="Header Char"/>
    <w:basedOn w:val="DefaultParagraphFont"/>
    <w:link w:val="Header"/>
    <w:uiPriority w:val="99"/>
    <w:rsid w:val="007362DE"/>
  </w:style>
  <w:style w:type="character" w:styleId="CommentReference">
    <w:name w:val="annotation reference"/>
    <w:basedOn w:val="DefaultParagraphFont"/>
    <w:uiPriority w:val="99"/>
    <w:semiHidden/>
    <w:unhideWhenUsed/>
    <w:rsid w:val="00753B62"/>
    <w:rPr>
      <w:sz w:val="16"/>
      <w:szCs w:val="16"/>
    </w:rPr>
  </w:style>
  <w:style w:type="paragraph" w:styleId="CommentText">
    <w:name w:val="annotation text"/>
    <w:basedOn w:val="Normal"/>
    <w:link w:val="CommentTextChar"/>
    <w:uiPriority w:val="99"/>
    <w:unhideWhenUsed/>
    <w:rsid w:val="00753B62"/>
    <w:pPr>
      <w:spacing w:line="240" w:lineRule="auto"/>
    </w:pPr>
    <w:rPr>
      <w:sz w:val="20"/>
      <w:szCs w:val="20"/>
    </w:rPr>
  </w:style>
  <w:style w:type="character" w:customStyle="1" w:styleId="CommentTextChar">
    <w:name w:val="Comment Text Char"/>
    <w:basedOn w:val="DefaultParagraphFont"/>
    <w:link w:val="CommentText"/>
    <w:uiPriority w:val="99"/>
    <w:rsid w:val="00753B62"/>
    <w:rPr>
      <w:sz w:val="20"/>
      <w:szCs w:val="20"/>
    </w:rPr>
  </w:style>
  <w:style w:type="paragraph" w:styleId="CommentSubject">
    <w:name w:val="annotation subject"/>
    <w:basedOn w:val="CommentText"/>
    <w:next w:val="CommentText"/>
    <w:link w:val="CommentSubjectChar"/>
    <w:uiPriority w:val="99"/>
    <w:semiHidden/>
    <w:unhideWhenUsed/>
    <w:rsid w:val="00753B62"/>
    <w:rPr>
      <w:b/>
      <w:bCs/>
    </w:rPr>
  </w:style>
  <w:style w:type="character" w:customStyle="1" w:styleId="CommentSubjectChar">
    <w:name w:val="Comment Subject Char"/>
    <w:basedOn w:val="CommentTextChar"/>
    <w:link w:val="CommentSubject"/>
    <w:uiPriority w:val="99"/>
    <w:semiHidden/>
    <w:rsid w:val="00753B62"/>
    <w:rPr>
      <w:b/>
      <w:bCs/>
      <w:sz w:val="20"/>
      <w:szCs w:val="20"/>
    </w:rPr>
  </w:style>
  <w:style w:type="paragraph" w:styleId="NormalWeb">
    <w:name w:val="Normal (Web)"/>
    <w:basedOn w:val="Normal"/>
    <w:uiPriority w:val="99"/>
    <w:semiHidden/>
    <w:unhideWhenUsed/>
    <w:rsid w:val="00753B62"/>
    <w:rPr>
      <w:rFonts w:ascii="Times New Roman" w:hAnsi="Times New Roman" w:cs="Times New Roman"/>
      <w:sz w:val="24"/>
      <w:szCs w:val="24"/>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C70B33"/>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70B33"/>
    <w:rPr>
      <w:rFonts w:ascii="Times New Roman" w:hAnsi="Times New Roman" w:cs="Times New Roman"/>
      <w:sz w:val="18"/>
      <w:szCs w:val="18"/>
    </w:rPr>
  </w:style>
  <w:style w:type="character" w:styleId="Hyperlink">
    <w:name w:val="Hyperlink"/>
    <w:basedOn w:val="DefaultParagraphFont"/>
    <w:uiPriority w:val="99"/>
    <w:unhideWhenUsed/>
    <w:rsid w:val="00C70B33"/>
    <w:rPr>
      <w:color w:val="0000FF" w:themeColor="hyperlink"/>
      <w:u w:val="single"/>
    </w:rPr>
  </w:style>
  <w:style w:type="character" w:styleId="UnresolvedMention">
    <w:name w:val="Unresolved Mention"/>
    <w:basedOn w:val="DefaultParagraphFont"/>
    <w:uiPriority w:val="99"/>
    <w:semiHidden/>
    <w:unhideWhenUsed/>
    <w:rsid w:val="00C70B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3163963">
      <w:bodyDiv w:val="1"/>
      <w:marLeft w:val="0"/>
      <w:marRight w:val="0"/>
      <w:marTop w:val="0"/>
      <w:marBottom w:val="0"/>
      <w:divBdr>
        <w:top w:val="none" w:sz="0" w:space="0" w:color="auto"/>
        <w:left w:val="none" w:sz="0" w:space="0" w:color="auto"/>
        <w:bottom w:val="none" w:sz="0" w:space="0" w:color="auto"/>
        <w:right w:val="none" w:sz="0" w:space="0" w:color="auto"/>
      </w:divBdr>
      <w:divsChild>
        <w:div w:id="1219316880">
          <w:marLeft w:val="0"/>
          <w:marRight w:val="0"/>
          <w:marTop w:val="0"/>
          <w:marBottom w:val="0"/>
          <w:divBdr>
            <w:top w:val="single" w:sz="2" w:space="0" w:color="E5E7EB"/>
            <w:left w:val="single" w:sz="2" w:space="0" w:color="E5E7EB"/>
            <w:bottom w:val="single" w:sz="2" w:space="0" w:color="E5E7EB"/>
            <w:right w:val="single" w:sz="2" w:space="0" w:color="E5E7EB"/>
          </w:divBdr>
          <w:divsChild>
            <w:div w:id="1213149970">
              <w:marLeft w:val="0"/>
              <w:marRight w:val="0"/>
              <w:marTop w:val="0"/>
              <w:marBottom w:val="0"/>
              <w:divBdr>
                <w:top w:val="single" w:sz="2" w:space="0" w:color="E5E7EB"/>
                <w:left w:val="single" w:sz="2" w:space="0" w:color="E5E7EB"/>
                <w:bottom w:val="single" w:sz="2" w:space="0" w:color="E5E7EB"/>
                <w:right w:val="single" w:sz="2" w:space="0" w:color="E5E7EB"/>
              </w:divBdr>
              <w:divsChild>
                <w:div w:id="23458574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PM9F298ieVMwtEKrzCpwMxBUmw==">CgMxLjA4AHIhMXpVV2JodFRzZXNKOVE4eG1OaWRfRFpUOHNMZmg2ejYt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1336</Words>
  <Characters>7616</Characters>
  <Application>Microsoft Office Word</Application>
  <DocSecurity>0</DocSecurity>
  <Lines>63</Lines>
  <Paragraphs>17</Paragraphs>
  <ScaleCrop>false</ScaleCrop>
  <Company/>
  <LinksUpToDate>false</LinksUpToDate>
  <CharactersWithSpaces>8935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Wong (CTPIS)</dc:creator>
  <cp:lastModifiedBy/>
  <cp:revision>3</cp:revision>
  <dcterms:created xsi:type="dcterms:W3CDTF">2026-02-12T08:00:00Z</dcterms:created>
  <dcterms:modified xsi:type="dcterms:W3CDTF">2026-02-24T02:57:00Z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50b01f8d,56ef8e4d,4c1045ec</vt:lpwstr>
  </property>
  <property fmtid="{D5CDD505-2E9C-101B-9397-08002B2CF9AE}" pid="3" name="ClassificationContentMarkingHeaderFontProps">
    <vt:lpwstr>#0078d7,12,Aptos</vt:lpwstr>
  </property>
  <property fmtid="{D5CDD505-2E9C-101B-9397-08002B2CF9AE}" pid="4" name="ClassificationContentMarkingHeaderText">
    <vt:lpwstr>[Internal]</vt:lpwstr>
  </property>
  <property fmtid="{D5CDD505-2E9C-101B-9397-08002B2CF9AE}" pid="5" name="MSIP_Label_6f48db5b-534e-48d1-bc5d-197630578edc_Enabled">
    <vt:lpwstr>true</vt:lpwstr>
  </property>
  <property fmtid="{D5CDD505-2E9C-101B-9397-08002B2CF9AE}" pid="6" name="MSIP_Label_6f48db5b-534e-48d1-bc5d-197630578edc_SetDate">
    <vt:lpwstr>2026-01-29T07:46:12Z</vt:lpwstr>
  </property>
  <property fmtid="{D5CDD505-2E9C-101B-9397-08002B2CF9AE}" pid="7" name="MSIP_Label_6f48db5b-534e-48d1-bc5d-197630578edc_Method">
    <vt:lpwstr>Standard</vt:lpwstr>
  </property>
  <property fmtid="{D5CDD505-2E9C-101B-9397-08002B2CF9AE}" pid="8" name="MSIP_Label_6f48db5b-534e-48d1-bc5d-197630578edc_Name">
    <vt:lpwstr>General</vt:lpwstr>
  </property>
  <property fmtid="{D5CDD505-2E9C-101B-9397-08002B2CF9AE}" pid="9" name="MSIP_Label_6f48db5b-534e-48d1-bc5d-197630578edc_SiteId">
    <vt:lpwstr>52fbc9ef-9a57-4c5b-a4ca-46f2633868e5</vt:lpwstr>
  </property>
  <property fmtid="{D5CDD505-2E9C-101B-9397-08002B2CF9AE}" pid="10" name="MSIP_Label_6f48db5b-534e-48d1-bc5d-197630578edc_ActionId">
    <vt:lpwstr>19b00794-0b1e-4c17-8c7c-2ea81c587867</vt:lpwstr>
  </property>
  <property fmtid="{D5CDD505-2E9C-101B-9397-08002B2CF9AE}" pid="11" name="MSIP_Label_6f48db5b-534e-48d1-bc5d-197630578edc_ContentBits">
    <vt:lpwstr>1</vt:lpwstr>
  </property>
  <property fmtid="{D5CDD505-2E9C-101B-9397-08002B2CF9AE}" pid="12" name="MSIP_Label_6f48db5b-534e-48d1-bc5d-197630578edc_Tag">
    <vt:lpwstr>10, 3, 0, 1</vt:lpwstr>
  </property>
</Properties>
</file>